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right" w:leader="dot" w:pos="8306"/>
        </w:tabs>
        <w:rPr>
          <w:rFonts w:hint="eastAsia" w:ascii="宋体" w:hAnsi="宋体" w:eastAsia="宋体" w:cs="宋体"/>
          <w:sz w:val="32"/>
          <w:szCs w:val="32"/>
        </w:rPr>
      </w:pPr>
      <w:r>
        <w:rPr>
          <w:sz w:val="72"/>
        </w:rPr>
        <w:fldChar w:fldCharType="begin"/>
      </w:r>
      <w:r>
        <w:rPr>
          <w:sz w:val="72"/>
        </w:rPr>
        <w:instrText xml:space="preserve"> </w:instrText>
      </w:r>
      <w:r>
        <w:rPr>
          <w:rFonts w:hint="eastAsia"/>
          <w:sz w:val="72"/>
        </w:rPr>
        <w:instrText xml:space="preserve">TOC \o "1-3" \h \z \u</w:instrText>
      </w:r>
      <w:r>
        <w:rPr>
          <w:sz w:val="72"/>
        </w:rPr>
        <w:instrText xml:space="preserve"> </w:instrText>
      </w:r>
      <w:r>
        <w:rPr>
          <w:sz w:val="72"/>
        </w:rPr>
        <w:fldChar w:fldCharType="separate"/>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_Toc8267 </w:instrText>
      </w:r>
      <w:r>
        <w:rPr>
          <w:rFonts w:hint="eastAsia" w:ascii="宋体" w:hAnsi="宋体" w:eastAsia="宋体" w:cs="宋体"/>
          <w:sz w:val="32"/>
          <w:szCs w:val="32"/>
        </w:rPr>
        <w:fldChar w:fldCharType="separate"/>
      </w:r>
      <w:r>
        <w:rPr>
          <w:rFonts w:hint="eastAsia" w:ascii="宋体" w:hAnsi="宋体" w:eastAsia="宋体" w:cs="宋体"/>
          <w:sz w:val="32"/>
          <w:szCs w:val="32"/>
        </w:rPr>
        <w:t>免学费项目</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_Toc8267 \h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_Toc22646 </w:instrText>
      </w:r>
      <w:r>
        <w:rPr>
          <w:rFonts w:hint="eastAsia" w:ascii="楷体" w:hAnsi="楷体" w:eastAsia="楷体" w:cs="楷体"/>
          <w:sz w:val="28"/>
          <w:szCs w:val="28"/>
        </w:rPr>
        <w:fldChar w:fldCharType="separate"/>
      </w:r>
      <w:r>
        <w:rPr>
          <w:rFonts w:hint="eastAsia" w:ascii="楷体" w:hAnsi="楷体" w:eastAsia="楷体" w:cs="楷体"/>
          <w:sz w:val="28"/>
          <w:szCs w:val="28"/>
        </w:rPr>
        <w:t>德国柏林自由大学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_Toc22646 \h </w:instrText>
      </w:r>
      <w:r>
        <w:rPr>
          <w:rFonts w:hint="eastAsia" w:ascii="楷体" w:hAnsi="楷体" w:eastAsia="楷体" w:cs="楷体"/>
          <w:sz w:val="28"/>
          <w:szCs w:val="28"/>
        </w:rPr>
        <w:fldChar w:fldCharType="separate"/>
      </w:r>
      <w:r>
        <w:rPr>
          <w:rFonts w:hint="eastAsia" w:ascii="楷体" w:hAnsi="楷体" w:eastAsia="楷体" w:cs="楷体"/>
          <w:sz w:val="28"/>
          <w:szCs w:val="28"/>
        </w:rPr>
        <w:t>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_Toc6689 </w:instrText>
      </w:r>
      <w:r>
        <w:rPr>
          <w:rFonts w:hint="eastAsia" w:ascii="楷体" w:hAnsi="楷体" w:eastAsia="楷体" w:cs="楷体"/>
          <w:sz w:val="28"/>
          <w:szCs w:val="28"/>
        </w:rPr>
        <w:fldChar w:fldCharType="separate"/>
      </w:r>
      <w:r>
        <w:rPr>
          <w:rFonts w:hint="eastAsia" w:ascii="楷体" w:hAnsi="楷体" w:eastAsia="楷体" w:cs="楷体"/>
          <w:sz w:val="28"/>
          <w:szCs w:val="28"/>
        </w:rPr>
        <w:t>德国勃兰登堡工业大学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_Toc6689 \h </w:instrText>
      </w:r>
      <w:r>
        <w:rPr>
          <w:rFonts w:hint="eastAsia" w:ascii="楷体" w:hAnsi="楷体" w:eastAsia="楷体" w:cs="楷体"/>
          <w:sz w:val="28"/>
          <w:szCs w:val="28"/>
        </w:rPr>
        <w:fldChar w:fldCharType="separate"/>
      </w:r>
      <w:r>
        <w:rPr>
          <w:rFonts w:hint="eastAsia" w:ascii="楷体" w:hAnsi="楷体" w:eastAsia="楷体" w:cs="楷体"/>
          <w:sz w:val="28"/>
          <w:szCs w:val="28"/>
        </w:rPr>
        <w:t>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_Toc16075 </w:instrText>
      </w:r>
      <w:r>
        <w:rPr>
          <w:rFonts w:hint="eastAsia" w:ascii="楷体" w:hAnsi="楷体" w:eastAsia="楷体" w:cs="楷体"/>
          <w:sz w:val="28"/>
          <w:szCs w:val="28"/>
        </w:rPr>
        <w:fldChar w:fldCharType="separate"/>
      </w:r>
      <w:r>
        <w:rPr>
          <w:rFonts w:hint="eastAsia" w:ascii="楷体" w:hAnsi="楷体" w:eastAsia="楷体" w:cs="楷体"/>
          <w:sz w:val="28"/>
          <w:szCs w:val="28"/>
        </w:rPr>
        <w:t>西班牙马德里理工大学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_Toc16075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_Toc23354 </w:instrText>
      </w:r>
      <w:r>
        <w:rPr>
          <w:rFonts w:hint="eastAsia" w:ascii="楷体" w:hAnsi="楷体" w:eastAsia="楷体" w:cs="楷体"/>
          <w:sz w:val="28"/>
          <w:szCs w:val="28"/>
        </w:rPr>
        <w:fldChar w:fldCharType="separate"/>
      </w:r>
      <w:r>
        <w:rPr>
          <w:rFonts w:hint="eastAsia" w:ascii="楷体" w:hAnsi="楷体" w:eastAsia="楷体" w:cs="楷体"/>
          <w:sz w:val="28"/>
          <w:szCs w:val="28"/>
        </w:rPr>
        <w:t>加拿大里贾纳大学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_Toc23354 \h </w:instrText>
      </w:r>
      <w:r>
        <w:rPr>
          <w:rFonts w:hint="eastAsia" w:ascii="楷体" w:hAnsi="楷体" w:eastAsia="楷体" w:cs="楷体"/>
          <w:sz w:val="28"/>
          <w:szCs w:val="28"/>
        </w:rPr>
        <w:fldChar w:fldCharType="separate"/>
      </w:r>
      <w:r>
        <w:rPr>
          <w:rFonts w:hint="eastAsia" w:ascii="楷体" w:hAnsi="楷体" w:eastAsia="楷体" w:cs="楷体"/>
          <w:sz w:val="28"/>
          <w:szCs w:val="28"/>
        </w:rPr>
        <w:t>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_Toc20562 </w:instrText>
      </w:r>
      <w:r>
        <w:rPr>
          <w:rFonts w:hint="eastAsia" w:ascii="楷体" w:hAnsi="楷体" w:eastAsia="楷体" w:cs="楷体"/>
          <w:sz w:val="28"/>
          <w:szCs w:val="28"/>
        </w:rPr>
        <w:fldChar w:fldCharType="separate"/>
      </w:r>
      <w:r>
        <w:rPr>
          <w:rFonts w:hint="eastAsia" w:ascii="楷体" w:hAnsi="楷体" w:eastAsia="楷体" w:cs="楷体"/>
          <w:sz w:val="28"/>
          <w:szCs w:val="28"/>
        </w:rPr>
        <w:t>波兰弗罗茨瓦夫理工大学</w:t>
      </w:r>
      <w:bookmarkStart w:id="30" w:name="_GoBack"/>
      <w:bookmarkEnd w:id="30"/>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_Toc20562 \h </w:instrText>
      </w:r>
      <w:r>
        <w:rPr>
          <w:rFonts w:hint="eastAsia" w:ascii="楷体" w:hAnsi="楷体" w:eastAsia="楷体" w:cs="楷体"/>
          <w:sz w:val="28"/>
          <w:szCs w:val="28"/>
        </w:rPr>
        <w:fldChar w:fldCharType="separate"/>
      </w:r>
      <w:r>
        <w:rPr>
          <w:rFonts w:hint="eastAsia" w:ascii="楷体" w:hAnsi="楷体" w:eastAsia="楷体" w:cs="楷体"/>
          <w:sz w:val="28"/>
          <w:szCs w:val="28"/>
        </w:rPr>
        <w:t>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_Toc5328 </w:instrText>
      </w:r>
      <w:r>
        <w:rPr>
          <w:rFonts w:hint="eastAsia" w:ascii="楷体" w:hAnsi="楷体" w:eastAsia="楷体" w:cs="楷体"/>
          <w:sz w:val="28"/>
          <w:szCs w:val="28"/>
        </w:rPr>
        <w:fldChar w:fldCharType="separate"/>
      </w:r>
      <w:r>
        <w:rPr>
          <w:rFonts w:hint="eastAsia" w:ascii="楷体" w:hAnsi="楷体" w:eastAsia="楷体" w:cs="楷体"/>
          <w:sz w:val="28"/>
          <w:szCs w:val="28"/>
        </w:rPr>
        <w:t>克罗地亚萨格勒布大学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_Toc5328 \h </w:instrText>
      </w:r>
      <w:r>
        <w:rPr>
          <w:rFonts w:hint="eastAsia" w:ascii="楷体" w:hAnsi="楷体" w:eastAsia="楷体" w:cs="楷体"/>
          <w:sz w:val="28"/>
          <w:szCs w:val="28"/>
        </w:rPr>
        <w:fldChar w:fldCharType="separate"/>
      </w:r>
      <w:r>
        <w:rPr>
          <w:rFonts w:hint="eastAsia" w:ascii="楷体" w:hAnsi="楷体" w:eastAsia="楷体" w:cs="楷体"/>
          <w:sz w:val="28"/>
          <w:szCs w:val="28"/>
        </w:rPr>
        <w:t>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_Toc4920 </w:instrText>
      </w:r>
      <w:r>
        <w:rPr>
          <w:rFonts w:hint="eastAsia" w:ascii="楷体" w:hAnsi="楷体" w:eastAsia="楷体" w:cs="楷体"/>
          <w:sz w:val="28"/>
          <w:szCs w:val="28"/>
        </w:rPr>
        <w:fldChar w:fldCharType="separate"/>
      </w:r>
      <w:r>
        <w:rPr>
          <w:rFonts w:hint="eastAsia" w:ascii="楷体" w:hAnsi="楷体" w:eastAsia="楷体" w:cs="楷体"/>
          <w:sz w:val="28"/>
          <w:szCs w:val="28"/>
        </w:rPr>
        <w:t>韩国首尔市立大学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_Toc4920 \h </w:instrText>
      </w:r>
      <w:r>
        <w:rPr>
          <w:rFonts w:hint="eastAsia" w:ascii="楷体" w:hAnsi="楷体" w:eastAsia="楷体" w:cs="楷体"/>
          <w:sz w:val="28"/>
          <w:szCs w:val="28"/>
        </w:rPr>
        <w:fldChar w:fldCharType="separate"/>
      </w:r>
      <w:r>
        <w:rPr>
          <w:rFonts w:hint="eastAsia" w:ascii="楷体" w:hAnsi="楷体" w:eastAsia="楷体" w:cs="楷体"/>
          <w:sz w:val="28"/>
          <w:szCs w:val="28"/>
        </w:rPr>
        <w:t>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_Toc20164 </w:instrText>
      </w:r>
      <w:r>
        <w:rPr>
          <w:rFonts w:hint="eastAsia" w:ascii="楷体" w:hAnsi="楷体" w:eastAsia="楷体" w:cs="楷体"/>
          <w:sz w:val="28"/>
          <w:szCs w:val="28"/>
        </w:rPr>
        <w:fldChar w:fldCharType="separate"/>
      </w:r>
      <w:r>
        <w:rPr>
          <w:rFonts w:hint="eastAsia" w:ascii="楷体" w:hAnsi="楷体" w:eastAsia="楷体" w:cs="楷体"/>
          <w:sz w:val="28"/>
          <w:szCs w:val="28"/>
        </w:rPr>
        <w:t>韩国庆北大学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_Toc20164 \h </w:instrText>
      </w:r>
      <w:r>
        <w:rPr>
          <w:rFonts w:hint="eastAsia" w:ascii="楷体" w:hAnsi="楷体" w:eastAsia="楷体" w:cs="楷体"/>
          <w:sz w:val="28"/>
          <w:szCs w:val="28"/>
        </w:rPr>
        <w:fldChar w:fldCharType="separate"/>
      </w:r>
      <w:r>
        <w:rPr>
          <w:rFonts w:hint="eastAsia" w:ascii="楷体" w:hAnsi="楷体" w:eastAsia="楷体" w:cs="楷体"/>
          <w:sz w:val="28"/>
          <w:szCs w:val="28"/>
        </w:rPr>
        <w:t>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_Toc26755 </w:instrText>
      </w:r>
      <w:r>
        <w:rPr>
          <w:rFonts w:hint="eastAsia" w:ascii="楷体" w:hAnsi="楷体" w:eastAsia="楷体" w:cs="楷体"/>
          <w:sz w:val="28"/>
          <w:szCs w:val="28"/>
        </w:rPr>
        <w:fldChar w:fldCharType="separate"/>
      </w:r>
      <w:r>
        <w:rPr>
          <w:rFonts w:hint="eastAsia" w:ascii="楷体" w:hAnsi="楷体" w:eastAsia="楷体" w:cs="楷体"/>
          <w:sz w:val="28"/>
          <w:szCs w:val="28"/>
        </w:rPr>
        <w:t>韩国光云大学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_Toc26755 \h </w:instrText>
      </w:r>
      <w:r>
        <w:rPr>
          <w:rFonts w:hint="eastAsia" w:ascii="楷体" w:hAnsi="楷体" w:eastAsia="楷体" w:cs="楷体"/>
          <w:sz w:val="28"/>
          <w:szCs w:val="28"/>
        </w:rPr>
        <w:fldChar w:fldCharType="separate"/>
      </w:r>
      <w:r>
        <w:rPr>
          <w:rFonts w:hint="eastAsia" w:ascii="楷体" w:hAnsi="楷体" w:eastAsia="楷体" w:cs="楷体"/>
          <w:sz w:val="28"/>
          <w:szCs w:val="28"/>
        </w:rPr>
        <w:t>10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7"/>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_Toc9230 </w:instrText>
      </w:r>
      <w:r>
        <w:rPr>
          <w:rFonts w:hint="eastAsia" w:ascii="宋体" w:hAnsi="宋体" w:eastAsia="宋体" w:cs="宋体"/>
          <w:sz w:val="32"/>
          <w:szCs w:val="32"/>
        </w:rPr>
        <w:fldChar w:fldCharType="separate"/>
      </w:r>
      <w:r>
        <w:rPr>
          <w:rFonts w:hint="eastAsia" w:ascii="宋体" w:hAnsi="宋体" w:eastAsia="宋体" w:cs="宋体"/>
          <w:sz w:val="32"/>
          <w:szCs w:val="32"/>
        </w:rPr>
        <w:t>自费项目</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_Toc9230 \h </w:instrText>
      </w:r>
      <w:r>
        <w:rPr>
          <w:rFonts w:hint="eastAsia" w:ascii="宋体" w:hAnsi="宋体" w:eastAsia="宋体" w:cs="宋体"/>
          <w:sz w:val="32"/>
          <w:szCs w:val="32"/>
        </w:rPr>
        <w:fldChar w:fldCharType="separate"/>
      </w:r>
      <w:r>
        <w:rPr>
          <w:rFonts w:hint="eastAsia"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_Toc19783 </w:instrText>
      </w:r>
      <w:r>
        <w:rPr>
          <w:rFonts w:hint="eastAsia" w:ascii="楷体" w:hAnsi="楷体" w:eastAsia="楷体" w:cs="楷体"/>
          <w:sz w:val="28"/>
          <w:szCs w:val="28"/>
        </w:rPr>
        <w:fldChar w:fldCharType="separate"/>
      </w:r>
      <w:r>
        <w:rPr>
          <w:rFonts w:hint="eastAsia" w:ascii="楷体" w:hAnsi="楷体" w:eastAsia="楷体" w:cs="楷体"/>
          <w:sz w:val="28"/>
          <w:szCs w:val="28"/>
        </w:rPr>
        <w:t>捷克技术大学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_Toc19783 \h </w:instrText>
      </w:r>
      <w:r>
        <w:rPr>
          <w:rFonts w:hint="eastAsia" w:ascii="楷体" w:hAnsi="楷体" w:eastAsia="楷体" w:cs="楷体"/>
          <w:sz w:val="28"/>
          <w:szCs w:val="28"/>
        </w:rPr>
        <w:fldChar w:fldCharType="separate"/>
      </w:r>
      <w:r>
        <w:rPr>
          <w:rFonts w:hint="eastAsia" w:ascii="楷体" w:hAnsi="楷体" w:eastAsia="楷体" w:cs="楷体"/>
          <w:sz w:val="28"/>
          <w:szCs w:val="28"/>
        </w:rPr>
        <w:t>11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_Toc7042 </w:instrText>
      </w:r>
      <w:r>
        <w:rPr>
          <w:rFonts w:hint="eastAsia" w:ascii="楷体" w:hAnsi="楷体" w:eastAsia="楷体" w:cs="楷体"/>
          <w:sz w:val="28"/>
          <w:szCs w:val="28"/>
        </w:rPr>
        <w:fldChar w:fldCharType="separate"/>
      </w:r>
      <w:r>
        <w:rPr>
          <w:rFonts w:hint="eastAsia" w:ascii="楷体" w:hAnsi="楷体" w:eastAsia="楷体" w:cs="楷体"/>
          <w:sz w:val="28"/>
          <w:szCs w:val="28"/>
        </w:rPr>
        <w:t>英国巴斯大学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_Toc7042 \h </w:instrText>
      </w:r>
      <w:r>
        <w:rPr>
          <w:rFonts w:hint="eastAsia" w:ascii="楷体" w:hAnsi="楷体" w:eastAsia="楷体" w:cs="楷体"/>
          <w:sz w:val="28"/>
          <w:szCs w:val="28"/>
        </w:rPr>
        <w:fldChar w:fldCharType="separate"/>
      </w:r>
      <w:r>
        <w:rPr>
          <w:rFonts w:hint="eastAsia" w:ascii="楷体" w:hAnsi="楷体" w:eastAsia="楷体" w:cs="楷体"/>
          <w:sz w:val="28"/>
          <w:szCs w:val="28"/>
        </w:rPr>
        <w:t>12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_Toc31438 </w:instrText>
      </w:r>
      <w:r>
        <w:rPr>
          <w:rFonts w:hint="eastAsia" w:ascii="楷体" w:hAnsi="楷体" w:eastAsia="楷体" w:cs="楷体"/>
          <w:sz w:val="28"/>
          <w:szCs w:val="28"/>
        </w:rPr>
        <w:fldChar w:fldCharType="separate"/>
      </w:r>
      <w:r>
        <w:rPr>
          <w:rFonts w:hint="eastAsia" w:ascii="楷体" w:hAnsi="楷体" w:eastAsia="楷体" w:cs="楷体"/>
          <w:sz w:val="28"/>
          <w:szCs w:val="28"/>
        </w:rPr>
        <w:t>美国威斯康星大学密尔沃基分校（毕业设计项目）</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_Toc31438 \h </w:instrText>
      </w:r>
      <w:r>
        <w:rPr>
          <w:rFonts w:hint="eastAsia" w:ascii="楷体" w:hAnsi="楷体" w:eastAsia="楷体" w:cs="楷体"/>
          <w:sz w:val="28"/>
          <w:szCs w:val="28"/>
        </w:rPr>
        <w:fldChar w:fldCharType="separate"/>
      </w:r>
      <w:r>
        <w:rPr>
          <w:rFonts w:hint="eastAsia" w:ascii="楷体" w:hAnsi="楷体" w:eastAsia="楷体" w:cs="楷体"/>
          <w:sz w:val="28"/>
          <w:szCs w:val="28"/>
        </w:rPr>
        <w:t>13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_Toc18401 </w:instrText>
      </w:r>
      <w:r>
        <w:rPr>
          <w:rFonts w:hint="eastAsia" w:ascii="楷体" w:hAnsi="楷体" w:eastAsia="楷体" w:cs="楷体"/>
          <w:sz w:val="28"/>
          <w:szCs w:val="28"/>
        </w:rPr>
        <w:fldChar w:fldCharType="separate"/>
      </w:r>
      <w:r>
        <w:rPr>
          <w:rFonts w:hint="eastAsia" w:ascii="楷体" w:hAnsi="楷体" w:eastAsia="楷体" w:cs="楷体"/>
          <w:sz w:val="28"/>
          <w:szCs w:val="28"/>
        </w:rPr>
        <w:t>美国伊利诺伊斯理工大学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_Toc18401 \h </w:instrText>
      </w:r>
      <w:r>
        <w:rPr>
          <w:rFonts w:hint="eastAsia" w:ascii="楷体" w:hAnsi="楷体" w:eastAsia="楷体" w:cs="楷体"/>
          <w:sz w:val="28"/>
          <w:szCs w:val="28"/>
        </w:rPr>
        <w:fldChar w:fldCharType="separate"/>
      </w:r>
      <w:r>
        <w:rPr>
          <w:rFonts w:hint="eastAsia" w:ascii="楷体" w:hAnsi="楷体" w:eastAsia="楷体" w:cs="楷体"/>
          <w:sz w:val="28"/>
          <w:szCs w:val="28"/>
        </w:rPr>
        <w:t>14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_Toc1267 </w:instrText>
      </w:r>
      <w:r>
        <w:rPr>
          <w:rFonts w:hint="eastAsia" w:ascii="楷体" w:hAnsi="楷体" w:eastAsia="楷体" w:cs="楷体"/>
          <w:sz w:val="28"/>
          <w:szCs w:val="28"/>
        </w:rPr>
        <w:fldChar w:fldCharType="separate"/>
      </w:r>
      <w:r>
        <w:rPr>
          <w:rFonts w:hint="eastAsia" w:ascii="楷体" w:hAnsi="楷体" w:eastAsia="楷体" w:cs="楷体"/>
          <w:sz w:val="28"/>
          <w:szCs w:val="28"/>
        </w:rPr>
        <w:t>美国普渡大学西北校区</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_Toc1267 \h </w:instrText>
      </w:r>
      <w:r>
        <w:rPr>
          <w:rFonts w:hint="eastAsia" w:ascii="楷体" w:hAnsi="楷体" w:eastAsia="楷体" w:cs="楷体"/>
          <w:sz w:val="28"/>
          <w:szCs w:val="28"/>
        </w:rPr>
        <w:fldChar w:fldCharType="separate"/>
      </w:r>
      <w:r>
        <w:rPr>
          <w:rFonts w:hint="eastAsia" w:ascii="楷体" w:hAnsi="楷体" w:eastAsia="楷体" w:cs="楷体"/>
          <w:sz w:val="28"/>
          <w:szCs w:val="28"/>
        </w:rPr>
        <w:t>15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_Toc29008 </w:instrText>
      </w:r>
      <w:r>
        <w:rPr>
          <w:rFonts w:hint="eastAsia" w:ascii="楷体" w:hAnsi="楷体" w:eastAsia="楷体" w:cs="楷体"/>
          <w:sz w:val="28"/>
          <w:szCs w:val="28"/>
        </w:rPr>
        <w:fldChar w:fldCharType="separate"/>
      </w:r>
      <w:r>
        <w:rPr>
          <w:rFonts w:hint="eastAsia" w:ascii="楷体" w:hAnsi="楷体" w:eastAsia="楷体" w:cs="楷体"/>
          <w:sz w:val="28"/>
          <w:szCs w:val="28"/>
        </w:rPr>
        <w:t>美国北科罗拉多大学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_Toc29008 \h </w:instrText>
      </w:r>
      <w:r>
        <w:rPr>
          <w:rFonts w:hint="eastAsia" w:ascii="楷体" w:hAnsi="楷体" w:eastAsia="楷体" w:cs="楷体"/>
          <w:sz w:val="28"/>
          <w:szCs w:val="28"/>
        </w:rPr>
        <w:fldChar w:fldCharType="separate"/>
      </w:r>
      <w:r>
        <w:rPr>
          <w:rFonts w:hint="eastAsia" w:ascii="楷体" w:hAnsi="楷体" w:eastAsia="楷体" w:cs="楷体"/>
          <w:sz w:val="28"/>
          <w:szCs w:val="28"/>
        </w:rPr>
        <w:t>16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_Toc20524 </w:instrText>
      </w:r>
      <w:r>
        <w:rPr>
          <w:rFonts w:hint="eastAsia" w:ascii="楷体" w:hAnsi="楷体" w:eastAsia="楷体" w:cs="楷体"/>
          <w:sz w:val="28"/>
          <w:szCs w:val="28"/>
        </w:rPr>
        <w:fldChar w:fldCharType="separate"/>
      </w:r>
      <w:r>
        <w:rPr>
          <w:rFonts w:hint="eastAsia" w:ascii="楷体" w:hAnsi="楷体" w:eastAsia="楷体" w:cs="楷体"/>
          <w:sz w:val="28"/>
          <w:szCs w:val="28"/>
        </w:rPr>
        <w:t>美国纽黑文大学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_Toc20524 \h </w:instrText>
      </w:r>
      <w:r>
        <w:rPr>
          <w:rFonts w:hint="eastAsia" w:ascii="楷体" w:hAnsi="楷体" w:eastAsia="楷体" w:cs="楷体"/>
          <w:sz w:val="28"/>
          <w:szCs w:val="28"/>
        </w:rPr>
        <w:fldChar w:fldCharType="separate"/>
      </w:r>
      <w:r>
        <w:rPr>
          <w:rFonts w:hint="eastAsia" w:ascii="楷体" w:hAnsi="楷体" w:eastAsia="楷体" w:cs="楷体"/>
          <w:sz w:val="28"/>
          <w:szCs w:val="28"/>
        </w:rPr>
        <w:t>17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_Toc23469 </w:instrText>
      </w:r>
      <w:r>
        <w:rPr>
          <w:rFonts w:hint="eastAsia" w:ascii="楷体" w:hAnsi="楷体" w:eastAsia="楷体" w:cs="楷体"/>
          <w:sz w:val="28"/>
          <w:szCs w:val="28"/>
        </w:rPr>
        <w:fldChar w:fldCharType="separate"/>
      </w:r>
      <w:r>
        <w:rPr>
          <w:rFonts w:hint="eastAsia" w:ascii="楷体" w:hAnsi="楷体" w:eastAsia="楷体" w:cs="楷体"/>
          <w:sz w:val="28"/>
          <w:szCs w:val="28"/>
        </w:rPr>
        <w:t>澳大利亚昆士兰大学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_Toc23469 \h </w:instrText>
      </w:r>
      <w:r>
        <w:rPr>
          <w:rFonts w:hint="eastAsia" w:ascii="楷体" w:hAnsi="楷体" w:eastAsia="楷体" w:cs="楷体"/>
          <w:sz w:val="28"/>
          <w:szCs w:val="28"/>
        </w:rPr>
        <w:fldChar w:fldCharType="separate"/>
      </w:r>
      <w:r>
        <w:rPr>
          <w:rFonts w:hint="eastAsia" w:ascii="楷体" w:hAnsi="楷体" w:eastAsia="楷体" w:cs="楷体"/>
          <w:sz w:val="28"/>
          <w:szCs w:val="28"/>
        </w:rPr>
        <w:t>18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_Toc17696 </w:instrText>
      </w:r>
      <w:r>
        <w:rPr>
          <w:rFonts w:hint="eastAsia" w:ascii="楷体" w:hAnsi="楷体" w:eastAsia="楷体" w:cs="楷体"/>
          <w:sz w:val="28"/>
          <w:szCs w:val="28"/>
        </w:rPr>
        <w:fldChar w:fldCharType="separate"/>
      </w:r>
      <w:r>
        <w:rPr>
          <w:rFonts w:hint="eastAsia" w:ascii="楷体" w:hAnsi="楷体" w:eastAsia="楷体" w:cs="楷体"/>
          <w:sz w:val="28"/>
          <w:szCs w:val="28"/>
        </w:rPr>
        <w:t>澳大利亚新南威尔士大学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_Toc17696 \h </w:instrText>
      </w:r>
      <w:r>
        <w:rPr>
          <w:rFonts w:hint="eastAsia" w:ascii="楷体" w:hAnsi="楷体" w:eastAsia="楷体" w:cs="楷体"/>
          <w:sz w:val="28"/>
          <w:szCs w:val="28"/>
        </w:rPr>
        <w:fldChar w:fldCharType="separate"/>
      </w:r>
      <w:r>
        <w:rPr>
          <w:rFonts w:hint="eastAsia" w:ascii="楷体" w:hAnsi="楷体" w:eastAsia="楷体" w:cs="楷体"/>
          <w:sz w:val="28"/>
          <w:szCs w:val="28"/>
        </w:rPr>
        <w:t>19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_Toc6228 </w:instrText>
      </w:r>
      <w:r>
        <w:rPr>
          <w:rFonts w:hint="eastAsia" w:ascii="楷体" w:hAnsi="楷体" w:eastAsia="楷体" w:cs="楷体"/>
          <w:sz w:val="28"/>
          <w:szCs w:val="28"/>
        </w:rPr>
        <w:fldChar w:fldCharType="separate"/>
      </w:r>
      <w:r>
        <w:rPr>
          <w:rFonts w:hint="eastAsia" w:ascii="楷体" w:hAnsi="楷体" w:eastAsia="楷体" w:cs="楷体"/>
          <w:sz w:val="28"/>
          <w:szCs w:val="28"/>
        </w:rPr>
        <w:t>澳大利亚昆士兰科技大学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_Toc6228 \h </w:instrText>
      </w:r>
      <w:r>
        <w:rPr>
          <w:rFonts w:hint="eastAsia" w:ascii="楷体" w:hAnsi="楷体" w:eastAsia="楷体" w:cs="楷体"/>
          <w:sz w:val="28"/>
          <w:szCs w:val="28"/>
        </w:rPr>
        <w:fldChar w:fldCharType="separate"/>
      </w:r>
      <w:r>
        <w:rPr>
          <w:rFonts w:hint="eastAsia" w:ascii="楷体" w:hAnsi="楷体" w:eastAsia="楷体" w:cs="楷体"/>
          <w:sz w:val="28"/>
          <w:szCs w:val="28"/>
        </w:rPr>
        <w:t>21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_Toc5568 </w:instrText>
      </w:r>
      <w:r>
        <w:rPr>
          <w:rFonts w:hint="eastAsia" w:ascii="楷体" w:hAnsi="楷体" w:eastAsia="楷体" w:cs="楷体"/>
          <w:sz w:val="28"/>
          <w:szCs w:val="28"/>
        </w:rPr>
        <w:fldChar w:fldCharType="separate"/>
      </w:r>
      <w:r>
        <w:rPr>
          <w:rFonts w:hint="eastAsia" w:ascii="楷体" w:hAnsi="楷体" w:eastAsia="楷体" w:cs="楷体"/>
          <w:sz w:val="28"/>
          <w:szCs w:val="28"/>
        </w:rPr>
        <w:t>新西兰惠灵顿维多利亚大学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_Toc5568 \h </w:instrText>
      </w:r>
      <w:r>
        <w:rPr>
          <w:rFonts w:hint="eastAsia" w:ascii="楷体" w:hAnsi="楷体" w:eastAsia="楷体" w:cs="楷体"/>
          <w:sz w:val="28"/>
          <w:szCs w:val="28"/>
        </w:rPr>
        <w:fldChar w:fldCharType="separate"/>
      </w:r>
      <w:r>
        <w:rPr>
          <w:rFonts w:hint="eastAsia" w:ascii="楷体" w:hAnsi="楷体" w:eastAsia="楷体" w:cs="楷体"/>
          <w:sz w:val="28"/>
          <w:szCs w:val="28"/>
        </w:rPr>
        <w:t>22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_Toc1879 </w:instrText>
      </w:r>
      <w:r>
        <w:rPr>
          <w:rFonts w:hint="eastAsia" w:ascii="楷体" w:hAnsi="楷体" w:eastAsia="楷体" w:cs="楷体"/>
          <w:sz w:val="28"/>
          <w:szCs w:val="28"/>
        </w:rPr>
        <w:fldChar w:fldCharType="separate"/>
      </w:r>
      <w:r>
        <w:rPr>
          <w:rFonts w:hint="eastAsia" w:ascii="楷体" w:hAnsi="楷体" w:eastAsia="楷体" w:cs="楷体"/>
          <w:sz w:val="28"/>
          <w:szCs w:val="28"/>
        </w:rPr>
        <w:t>马来西亚马来亚大学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_Toc1879 \h </w:instrText>
      </w:r>
      <w:r>
        <w:rPr>
          <w:rFonts w:hint="eastAsia" w:ascii="楷体" w:hAnsi="楷体" w:eastAsia="楷体" w:cs="楷体"/>
          <w:sz w:val="28"/>
          <w:szCs w:val="28"/>
        </w:rPr>
        <w:fldChar w:fldCharType="separate"/>
      </w:r>
      <w:r>
        <w:rPr>
          <w:rFonts w:hint="eastAsia" w:ascii="楷体" w:hAnsi="楷体" w:eastAsia="楷体" w:cs="楷体"/>
          <w:sz w:val="28"/>
          <w:szCs w:val="28"/>
        </w:rPr>
        <w:t>22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_Toc18479 </w:instrText>
      </w:r>
      <w:r>
        <w:rPr>
          <w:rFonts w:hint="eastAsia" w:ascii="楷体" w:hAnsi="楷体" w:eastAsia="楷体" w:cs="楷体"/>
          <w:sz w:val="28"/>
          <w:szCs w:val="28"/>
        </w:rPr>
        <w:fldChar w:fldCharType="separate"/>
      </w:r>
      <w:r>
        <w:rPr>
          <w:rFonts w:hint="eastAsia" w:ascii="楷体" w:hAnsi="楷体" w:eastAsia="楷体" w:cs="楷体"/>
          <w:sz w:val="28"/>
          <w:szCs w:val="28"/>
        </w:rPr>
        <w:t>韩国淑明女子大学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_Toc18479 \h </w:instrText>
      </w:r>
      <w:r>
        <w:rPr>
          <w:rFonts w:hint="eastAsia" w:ascii="楷体" w:hAnsi="楷体" w:eastAsia="楷体" w:cs="楷体"/>
          <w:sz w:val="28"/>
          <w:szCs w:val="28"/>
        </w:rPr>
        <w:fldChar w:fldCharType="separate"/>
      </w:r>
      <w:r>
        <w:rPr>
          <w:rFonts w:hint="eastAsia" w:ascii="楷体" w:hAnsi="楷体" w:eastAsia="楷体" w:cs="楷体"/>
          <w:sz w:val="28"/>
          <w:szCs w:val="28"/>
        </w:rPr>
        <w:t>24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1"/>
        <w:tabs>
          <w:tab w:val="right" w:leader="dot" w:pos="8306"/>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_Toc2876 </w:instrText>
      </w:r>
      <w:r>
        <w:rPr>
          <w:rFonts w:hint="eastAsia" w:ascii="楷体" w:hAnsi="楷体" w:eastAsia="楷体" w:cs="楷体"/>
          <w:sz w:val="28"/>
          <w:szCs w:val="28"/>
        </w:rPr>
        <w:fldChar w:fldCharType="separate"/>
      </w:r>
      <w:r>
        <w:rPr>
          <w:rFonts w:hint="eastAsia" w:ascii="楷体" w:hAnsi="楷体" w:eastAsia="楷体" w:cs="楷体"/>
          <w:sz w:val="28"/>
          <w:szCs w:val="28"/>
        </w:rPr>
        <w:t>韩国延世大学</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_Toc2876 \h </w:instrText>
      </w:r>
      <w:r>
        <w:rPr>
          <w:rFonts w:hint="eastAsia" w:ascii="楷体" w:hAnsi="楷体" w:eastAsia="楷体" w:cs="楷体"/>
          <w:sz w:val="28"/>
          <w:szCs w:val="28"/>
        </w:rPr>
        <w:fldChar w:fldCharType="separate"/>
      </w:r>
      <w:r>
        <w:rPr>
          <w:rFonts w:hint="eastAsia" w:ascii="楷体" w:hAnsi="楷体" w:eastAsia="楷体" w:cs="楷体"/>
          <w:sz w:val="28"/>
          <w:szCs w:val="28"/>
        </w:rPr>
        <w:t>24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9"/>
        <w:jc w:val="both"/>
      </w:pPr>
      <w:r>
        <w:fldChar w:fldCharType="end"/>
      </w:r>
    </w:p>
    <w:p/>
    <w:p/>
    <w:p/>
    <w:p/>
    <w:p/>
    <w:p/>
    <w:p/>
    <w:p/>
    <w:p>
      <w:pPr>
        <w:rPr>
          <w:rFonts w:hint="eastAsia"/>
        </w:rPr>
      </w:pPr>
    </w:p>
    <w:p>
      <w:pPr>
        <w:pStyle w:val="29"/>
      </w:pPr>
      <w:bookmarkStart w:id="0" w:name="_Toc8267"/>
      <w:r>
        <w:rPr>
          <w:rFonts w:hint="eastAsia"/>
        </w:rPr>
        <w:t>免学费项目</w:t>
      </w:r>
      <w:bookmarkEnd w:id="0"/>
    </w:p>
    <w:p>
      <w:pPr>
        <w:pStyle w:val="4"/>
        <w:jc w:val="center"/>
        <w:rPr>
          <w:rFonts w:ascii="仿宋" w:hAnsi="仿宋" w:eastAsia="仿宋"/>
          <w:sz w:val="36"/>
          <w:szCs w:val="36"/>
        </w:rPr>
      </w:pPr>
      <w:bookmarkStart w:id="1" w:name="_Toc22646"/>
      <w:r>
        <w:rPr>
          <w:rFonts w:hint="eastAsia" w:ascii="仿宋" w:hAnsi="仿宋" w:eastAsia="仿宋"/>
          <w:sz w:val="36"/>
          <w:szCs w:val="36"/>
        </w:rPr>
        <w:t>德国柏林自由大学</w:t>
      </w:r>
      <w:bookmarkEnd w:id="1"/>
    </w:p>
    <w:tbl>
      <w:tblPr>
        <w:tblStyle w:val="3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shd w:val="clear" w:color="auto" w:fill="FFFFFF"/>
                <w14:textFill>
                  <w14:solidFill>
                    <w14:schemeClr w14:val="tx1"/>
                  </w14:solidFill>
                </w14:textFill>
              </w:rPr>
              <w:t>项目内容</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选拔优秀本科生赴德国柏林自由大学进行学习，回校后进行学分互认转换。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选派专业</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选派类别</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选派人数</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交流期限</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所需费用</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申请条件</w:t>
            </w:r>
          </w:p>
        </w:tc>
        <w:tc>
          <w:tcPr>
            <w:tcW w:w="6525" w:type="dxa"/>
            <w:tcBorders>
              <w:top w:val="single" w:color="auto" w:sz="4" w:space="0"/>
              <w:left w:val="single" w:color="auto" w:sz="4" w:space="0"/>
              <w:bottom w:val="single" w:color="auto" w:sz="4" w:space="0"/>
              <w:right w:val="single" w:color="auto" w:sz="4" w:space="0"/>
            </w:tcBorders>
          </w:tcPr>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kern w:val="0"/>
                <w:shd w:val="clear" w:color="auto" w:fill="FFFFFF"/>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（4）较强的英语沟通能力（选择德文授课达到欧盟要求</w:t>
            </w:r>
            <w:r>
              <w:rPr>
                <w:rFonts w:ascii="仿宋" w:hAnsi="仿宋" w:eastAsia="仿宋" w:cs="宋体"/>
                <w:color w:val="000000" w:themeColor="text1"/>
                <w:kern w:val="0"/>
                <w:shd w:val="clear" w:color="auto" w:fill="FFFFFF"/>
                <w14:textFill>
                  <w14:solidFill>
                    <w14:schemeClr w14:val="tx1"/>
                  </w14:solidFill>
                </w14:textFill>
              </w:rPr>
              <w:t>B2</w:t>
            </w:r>
            <w:r>
              <w:rPr>
                <w:rFonts w:hint="eastAsia" w:ascii="仿宋" w:hAnsi="仿宋" w:eastAsia="仿宋" w:cs="宋体"/>
                <w:color w:val="000000" w:themeColor="text1"/>
                <w:kern w:val="0"/>
                <w:shd w:val="clear" w:color="auto" w:fill="FFFFFF"/>
                <w14:textFill>
                  <w14:solidFill>
                    <w14:schemeClr w14:val="tx1"/>
                  </w14:solidFill>
                </w14:textFill>
              </w:rPr>
              <w:t>级以上水平，选择英文授课英语需达到欧盟要求</w:t>
            </w:r>
            <w:r>
              <w:rPr>
                <w:rFonts w:ascii="仿宋" w:hAnsi="仿宋" w:eastAsia="仿宋" w:cs="宋体"/>
                <w:color w:val="000000" w:themeColor="text1"/>
                <w:kern w:val="0"/>
                <w:shd w:val="clear" w:color="auto" w:fill="FFFFFF"/>
                <w14:textFill>
                  <w14:solidFill>
                    <w14:schemeClr w14:val="tx1"/>
                  </w14:solidFill>
                </w14:textFill>
              </w:rPr>
              <w:t>B</w:t>
            </w:r>
            <w:r>
              <w:rPr>
                <w:rFonts w:hint="eastAsia" w:ascii="仿宋" w:hAnsi="仿宋" w:eastAsia="仿宋" w:cs="宋体"/>
                <w:color w:val="000000" w:themeColor="text1"/>
                <w:kern w:val="0"/>
                <w:shd w:val="clear" w:color="auto" w:fill="FFFFFF"/>
                <w14:textFill>
                  <w14:solidFill>
                    <w14:schemeClr w14:val="tx1"/>
                  </w14:solidFill>
                </w14:textFill>
              </w:rPr>
              <w:t>1以上水平）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校内申请材料</w:t>
            </w:r>
          </w:p>
        </w:tc>
        <w:tc>
          <w:tcPr>
            <w:tcW w:w="6525" w:type="dxa"/>
            <w:tcBorders>
              <w:top w:val="single" w:color="auto" w:sz="4" w:space="0"/>
              <w:left w:val="single" w:color="auto" w:sz="4" w:space="0"/>
              <w:bottom w:val="single" w:color="auto" w:sz="4" w:space="0"/>
              <w:right w:val="single" w:color="auto" w:sz="4" w:space="0"/>
            </w:tcBorders>
          </w:tcPr>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kern w:val="0"/>
                <w14:textFill>
                  <w14:solidFill>
                    <w14:schemeClr w14:val="tx1"/>
                  </w14:solidFill>
                </w14:textFill>
              </w:rPr>
              <w:t xml:space="preserve"> ，择优录取</w:t>
            </w:r>
            <w:r>
              <w:rPr>
                <w:rFonts w:hint="eastAsia" w:ascii="仿宋" w:hAnsi="仿宋" w:eastAsia="仿宋" w:cs="宋体"/>
                <w:color w:val="000000" w:themeColor="text1"/>
                <w:kern w:val="0"/>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交流院系介绍</w:t>
            </w:r>
          </w:p>
        </w:tc>
        <w:tc>
          <w:tcPr>
            <w:tcW w:w="6525" w:type="dxa"/>
            <w:tcBorders>
              <w:top w:val="single" w:color="auto" w:sz="4" w:space="0"/>
              <w:left w:val="single" w:color="auto" w:sz="4" w:space="0"/>
              <w:bottom w:val="single" w:color="auto" w:sz="4" w:space="0"/>
              <w:right w:val="single" w:color="auto" w:sz="4" w:space="0"/>
            </w:tcBorders>
          </w:tcPr>
          <w:p>
            <w:pPr>
              <w:pStyle w:val="27"/>
              <w:shd w:val="clear" w:color="auto" w:fill="FFFFFF"/>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柏林自由大学（德文：Freie Universit</w:t>
            </w:r>
            <w:r>
              <w:rPr>
                <w:rFonts w:ascii="Calibri" w:hAnsi="Calibri" w:eastAsia="仿宋" w:cs="Calibri"/>
                <w:color w:val="000000" w:themeColor="text1"/>
                <w:kern w:val="0"/>
                <w14:textFill>
                  <w14:solidFill>
                    <w14:schemeClr w14:val="tx1"/>
                  </w14:solidFill>
                </w14:textFill>
              </w:rPr>
              <w:t>ä</w:t>
            </w:r>
            <w:r>
              <w:rPr>
                <w:rFonts w:hint="eastAsia" w:ascii="仿宋" w:hAnsi="仿宋" w:eastAsia="仿宋" w:cs="宋体"/>
                <w:color w:val="000000" w:themeColor="text1"/>
                <w:kern w:val="0"/>
                <w14:textFill>
                  <w14:solidFill>
                    <w14:schemeClr w14:val="tx1"/>
                  </w14:solidFill>
                </w14:textFill>
              </w:rPr>
              <w:t>t Berlin）创建于1948年，前身为柏林大学，主校址位于柏林Dahlem，是德国首都规模最大的文理科综合性大学，也是欧洲大陆乃至世界的著名高校之一。柏林自由大学位列2020年QS世界大学排名第130位，2020年THE世界大学排名第117位，2019年USNews世界大学排名第116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rPr>
                <w:rFonts w:hint="default" w:ascii="仿宋" w:hAnsi="仿宋" w:eastAsia="仿宋" w:cs="宋体"/>
                <w:color w:val="000000" w:themeColor="text1"/>
                <w:sz w:val="24"/>
                <w:lang w:val="en-US" w:eastAsia="zh-CN"/>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tbl>
    <w:p>
      <w:pPr>
        <w:pStyle w:val="27"/>
        <w:widowControl/>
        <w:shd w:val="clear" w:color="auto" w:fill="FFFFFF"/>
        <w:ind w:firstLine="420"/>
        <w:jc w:val="center"/>
        <w:rPr>
          <w:rFonts w:ascii="仿宋" w:hAnsi="仿宋" w:eastAsia="仿宋" w:cs="宋体"/>
          <w:b/>
          <w:bCs/>
          <w:color w:val="000000" w:themeColor="text1"/>
          <w:sz w:val="36"/>
          <w:szCs w:val="36"/>
          <w:shd w:val="clear" w:color="auto" w:fill="FFFFFF"/>
          <w14:textFill>
            <w14:solidFill>
              <w14:schemeClr w14:val="tx1"/>
            </w14:solidFill>
          </w14:textFill>
        </w:rPr>
      </w:pPr>
    </w:p>
    <w:p>
      <w:pPr>
        <w:pStyle w:val="4"/>
        <w:jc w:val="center"/>
        <w:rPr>
          <w:rFonts w:ascii="仿宋" w:hAnsi="仿宋" w:eastAsia="仿宋"/>
          <w:sz w:val="36"/>
          <w:szCs w:val="36"/>
        </w:rPr>
      </w:pPr>
      <w:bookmarkStart w:id="2" w:name="_Toc6689"/>
      <w:r>
        <w:rPr>
          <w:rFonts w:hint="eastAsia" w:ascii="仿宋" w:hAnsi="仿宋" w:eastAsia="仿宋"/>
          <w:sz w:val="36"/>
          <w:szCs w:val="36"/>
        </w:rPr>
        <w:t>德国勃兰登堡工业大学</w:t>
      </w:r>
      <w:bookmarkEnd w:id="2"/>
    </w:p>
    <w:tbl>
      <w:tblPr>
        <w:tblStyle w:val="3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shd w:val="clear" w:color="auto" w:fill="FFFFFF"/>
                <w14:textFill>
                  <w14:solidFill>
                    <w14:schemeClr w14:val="tx1"/>
                  </w14:solidFill>
                </w14:textFill>
              </w:rPr>
              <w:t>项目内容</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选拔优秀本科生赴勃兰登堡工业大学进行学习，学习为期一年，其中成绩优异的同学可继续攻读硕士。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选派专业</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hint="eastAsia"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电气与电子工程学院，</w:t>
            </w:r>
            <w:r>
              <w:rPr>
                <w:rFonts w:ascii="仿宋" w:hAnsi="仿宋" w:eastAsia="仿宋" w:cs="宋体"/>
                <w:color w:val="000000" w:themeColor="text1"/>
                <w:kern w:val="0"/>
                <w14:textFill>
                  <w14:solidFill>
                    <w14:schemeClr w14:val="tx1"/>
                  </w14:solidFill>
                </w14:textFill>
              </w:rPr>
              <w:t>能源与动力工程学院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选派类别</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选派人数</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交流期限</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1学年</w:t>
            </w:r>
          </w:p>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成绩优异</w:t>
            </w:r>
            <w:r>
              <w:rPr>
                <w:rFonts w:ascii="仿宋" w:hAnsi="仿宋" w:eastAsia="仿宋" w:cs="宋体"/>
                <w:color w:val="000000" w:themeColor="text1"/>
                <w:kern w:val="0"/>
                <w14:textFill>
                  <w14:solidFill>
                    <w14:schemeClr w14:val="tx1"/>
                  </w14:solidFill>
                </w14:textFill>
              </w:rPr>
              <w:t>同学可选择</w:t>
            </w:r>
            <w:r>
              <w:rPr>
                <w:rFonts w:hint="eastAsia" w:ascii="仿宋" w:hAnsi="仿宋" w:eastAsia="仿宋" w:cs="宋体"/>
                <w:color w:val="000000" w:themeColor="text1"/>
                <w:kern w:val="0"/>
                <w14:textFill>
                  <w14:solidFill>
                    <w14:schemeClr w14:val="tx1"/>
                  </w14:solidFill>
                </w14:textFill>
              </w:rPr>
              <w:t>交换后“3</w:t>
            </w:r>
            <w:r>
              <w:rPr>
                <w:rFonts w:ascii="仿宋" w:hAnsi="仿宋" w:eastAsia="仿宋" w:cs="宋体"/>
                <w:color w:val="000000" w:themeColor="text1"/>
                <w:kern w:val="0"/>
                <w14:textFill>
                  <w14:solidFill>
                    <w14:schemeClr w14:val="tx1"/>
                  </w14:solidFill>
                </w14:textFill>
              </w:rPr>
              <w:t>+1+1</w:t>
            </w:r>
            <w:r>
              <w:rPr>
                <w:rFonts w:hint="eastAsia" w:ascii="仿宋" w:hAnsi="仿宋" w:eastAsia="仿宋" w:cs="宋体"/>
                <w:color w:val="000000" w:themeColor="text1"/>
                <w:kern w:val="0"/>
                <w14:textFill>
                  <w14:solidFill>
                    <w14:schemeClr w14:val="tx1"/>
                  </w14:solidFill>
                </w14:textFill>
              </w:rPr>
              <w:t>”</w:t>
            </w:r>
            <w:r>
              <w:rPr>
                <w:rFonts w:ascii="仿宋" w:hAnsi="仿宋" w:eastAsia="仿宋" w:cs="宋体"/>
                <w:color w:val="000000" w:themeColor="text1"/>
                <w:kern w:val="0"/>
                <w14:textFill>
                  <w14:solidFill>
                    <w14:schemeClr w14:val="tx1"/>
                  </w14:solidFill>
                </w14:textFill>
              </w:rPr>
              <w:t>留德继续攻读硕士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所需费用</w:t>
            </w:r>
          </w:p>
        </w:tc>
        <w:tc>
          <w:tcPr>
            <w:tcW w:w="6525"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免学费、交注册费2</w:t>
            </w:r>
            <w:r>
              <w:rPr>
                <w:rFonts w:hint="eastAsia" w:ascii="仿宋" w:hAnsi="仿宋" w:eastAsia="仿宋" w:cs="宋体"/>
                <w:color w:val="000000" w:themeColor="text1"/>
                <w:kern w:val="0"/>
                <w:lang w:val="en-US" w:eastAsia="zh-CN"/>
                <w14:textFill>
                  <w14:solidFill>
                    <w14:schemeClr w14:val="tx1"/>
                  </w14:solidFill>
                </w14:textFill>
              </w:rPr>
              <w:t>70</w:t>
            </w:r>
            <w:r>
              <w:rPr>
                <w:rFonts w:hint="eastAsia" w:ascii="仿宋" w:hAnsi="仿宋" w:eastAsia="仿宋" w:cs="宋体"/>
                <w:color w:val="000000" w:themeColor="text1"/>
                <w:kern w:val="0"/>
                <w14:textFill>
                  <w14:solidFill>
                    <w14:schemeClr w14:val="tx1"/>
                  </w14:solidFill>
                </w14:textFill>
              </w:rPr>
              <w:t>欧元/学期，其他费用由学生自理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申请条件</w:t>
            </w:r>
          </w:p>
        </w:tc>
        <w:tc>
          <w:tcPr>
            <w:tcW w:w="6525" w:type="dxa"/>
            <w:tcBorders>
              <w:top w:val="single" w:color="auto" w:sz="4" w:space="0"/>
              <w:left w:val="single" w:color="auto" w:sz="4" w:space="0"/>
              <w:bottom w:val="single" w:color="auto" w:sz="4" w:space="0"/>
              <w:right w:val="single" w:color="auto" w:sz="4" w:space="0"/>
            </w:tcBorders>
          </w:tcPr>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kern w:val="0"/>
                <w:shd w:val="clear" w:color="auto" w:fill="FFFFFF"/>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kern w:val="0"/>
                <w:shd w:val="clear" w:color="auto" w:fill="FFFFFF"/>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（4）较强的英语沟通能力（雅思不低于6，托福不低于79或通过对方面试）；</w:t>
            </w:r>
          </w:p>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（5）需通过德国学校教师的AP</w:t>
            </w:r>
            <w:r>
              <w:rPr>
                <w:rFonts w:ascii="仿宋" w:hAnsi="仿宋" w:eastAsia="仿宋" w:cs="宋体"/>
                <w:color w:val="000000" w:themeColor="text1"/>
                <w:kern w:val="0"/>
                <w:shd w:val="clear" w:color="auto" w:fill="FFFFFF"/>
                <w14:textFill>
                  <w14:solidFill>
                    <w14:schemeClr w14:val="tx1"/>
                  </w14:solidFill>
                </w14:textFill>
              </w:rPr>
              <w:t>S</w:t>
            </w:r>
            <w:r>
              <w:rPr>
                <w:rFonts w:hint="eastAsia" w:ascii="仿宋" w:hAnsi="仿宋" w:eastAsia="仿宋" w:cs="宋体"/>
                <w:color w:val="000000" w:themeColor="text1"/>
                <w:kern w:val="0"/>
                <w:shd w:val="clear" w:color="auto" w:fill="FFFFFF"/>
                <w14:textFill>
                  <w14:solidFill>
                    <w14:schemeClr w14:val="tx1"/>
                  </w14:solidFill>
                </w14:textFill>
              </w:rPr>
              <w:t>考试（英语语言考试和申请材料审核）</w:t>
            </w:r>
            <w:r>
              <w:rPr>
                <w:rFonts w:ascii="仿宋" w:hAnsi="仿宋" w:eastAsia="仿宋" w:cs="宋体"/>
                <w:color w:val="000000" w:themeColor="text1"/>
                <w:kern w:val="0"/>
                <w:shd w:val="clear" w:color="auto" w:fill="FFFFFF"/>
                <w14:textFill>
                  <w14:solidFill>
                    <w14:schemeClr w14:val="tx1"/>
                  </w14:solidFill>
                </w14:textFill>
              </w:rPr>
              <w:t>,</w:t>
            </w:r>
            <w:r>
              <w:rPr>
                <w:rFonts w:hint="eastAsia" w:ascii="仿宋" w:hAnsi="仿宋" w:eastAsia="仿宋" w:cs="宋体"/>
                <w:color w:val="000000" w:themeColor="text1"/>
                <w:kern w:val="0"/>
                <w:shd w:val="clear" w:color="auto" w:fill="FFFFFF"/>
                <w14:textFill>
                  <w14:solidFill>
                    <w14:schemeClr w14:val="tx1"/>
                  </w14:solidFill>
                </w14:textFill>
              </w:rPr>
              <w:t>我校为报名成功的同学集中组织面试。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校内申请材料</w:t>
            </w:r>
          </w:p>
        </w:tc>
        <w:tc>
          <w:tcPr>
            <w:tcW w:w="6525" w:type="dxa"/>
            <w:tcBorders>
              <w:top w:val="single" w:color="auto" w:sz="4" w:space="0"/>
              <w:left w:val="single" w:color="auto" w:sz="4" w:space="0"/>
              <w:bottom w:val="single" w:color="auto" w:sz="4" w:space="0"/>
              <w:right w:val="single" w:color="auto" w:sz="4" w:space="0"/>
            </w:tcBorders>
          </w:tcPr>
          <w:p>
            <w:pPr>
              <w:pStyle w:val="27"/>
              <w:widowControl/>
              <w:shd w:val="clear" w:color="auto" w:fill="FFFFFF"/>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kern w:val="0"/>
                <w14:textFill>
                  <w14:solidFill>
                    <w14:schemeClr w14:val="tx1"/>
                  </w14:solidFill>
                </w14:textFill>
              </w:rPr>
              <w:t xml:space="preserve"> ，择优录取</w:t>
            </w:r>
            <w:r>
              <w:rPr>
                <w:rFonts w:hint="eastAsia" w:ascii="仿宋" w:hAnsi="仿宋" w:eastAsia="仿宋" w:cs="宋体"/>
                <w:color w:val="000000" w:themeColor="text1"/>
                <w:kern w:val="0"/>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0" w:type="dxa"/>
            <w:tcBorders>
              <w:top w:val="single" w:color="auto" w:sz="4" w:space="0"/>
              <w:left w:val="single" w:color="auto" w:sz="4" w:space="0"/>
              <w:bottom w:val="single" w:color="auto" w:sz="4" w:space="0"/>
              <w:right w:val="single" w:color="auto" w:sz="4" w:space="0"/>
            </w:tcBorders>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kern w:val="0"/>
                <w14:textFill>
                  <w14:solidFill>
                    <w14:schemeClr w14:val="tx1"/>
                  </w14:solidFill>
                </w14:textFill>
              </w:rPr>
              <w:t>交流院系介绍</w:t>
            </w:r>
          </w:p>
        </w:tc>
        <w:tc>
          <w:tcPr>
            <w:tcW w:w="6525" w:type="dxa"/>
            <w:tcBorders>
              <w:top w:val="single" w:color="auto" w:sz="4" w:space="0"/>
              <w:left w:val="single" w:color="auto" w:sz="4" w:space="0"/>
              <w:bottom w:val="single" w:color="auto" w:sz="4" w:space="0"/>
              <w:right w:val="single" w:color="auto" w:sz="4" w:space="0"/>
            </w:tcBorders>
          </w:tcPr>
          <w:p>
            <w:pPr>
              <w:pStyle w:val="27"/>
              <w:shd w:val="clear" w:color="auto" w:fill="FFFFFF"/>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勃兰登堡工业大学（简称BTU)是位于德国境内</w:t>
            </w:r>
            <w:r>
              <w:fldChar w:fldCharType="begin"/>
            </w:r>
            <w:r>
              <w:instrText xml:space="preserve"> HYPERLINK "https://baike.baidu.com/item/%E5%8B%83%E5%85%B0%E7%99%BB%E5%A0%A1%E5%B7%9E/5446866" \t "_blank" </w:instrText>
            </w:r>
            <w:r>
              <w:fldChar w:fldCharType="separate"/>
            </w:r>
            <w:r>
              <w:rPr>
                <w:rStyle w:val="36"/>
                <w:rFonts w:hint="eastAsia" w:ascii="仿宋" w:hAnsi="仿宋" w:eastAsia="仿宋" w:cs="宋体"/>
                <w:color w:val="000000" w:themeColor="text1"/>
                <w:kern w:val="0"/>
                <w14:textFill>
                  <w14:solidFill>
                    <w14:schemeClr w14:val="tx1"/>
                  </w14:solidFill>
                </w14:textFill>
              </w:rPr>
              <w:t>勃兰登堡州</w:t>
            </w:r>
            <w:r>
              <w:rPr>
                <w:rStyle w:val="36"/>
                <w:rFonts w:hint="eastAsia" w:ascii="仿宋" w:hAnsi="仿宋" w:eastAsia="仿宋" w:cs="宋体"/>
                <w:color w:val="000000" w:themeColor="text1"/>
                <w:kern w:val="0"/>
                <w14:textFill>
                  <w14:solidFill>
                    <w14:schemeClr w14:val="tx1"/>
                  </w14:solidFill>
                </w14:textFill>
              </w:rPr>
              <w:fldChar w:fldCharType="end"/>
            </w:r>
            <w:r>
              <w:fldChar w:fldCharType="begin"/>
            </w:r>
            <w:r>
              <w:instrText xml:space="preserve"> HYPERLINK "https://baike.baidu.com/item/%E7%A7%91%E7%89%B9%E5%B8%83%E6%96%AF%E5%B8%82/3720776" \t "_blank" </w:instrText>
            </w:r>
            <w:r>
              <w:fldChar w:fldCharType="separate"/>
            </w:r>
            <w:r>
              <w:rPr>
                <w:rStyle w:val="36"/>
                <w:rFonts w:hint="eastAsia" w:ascii="仿宋" w:hAnsi="仿宋" w:eastAsia="仿宋" w:cs="宋体"/>
                <w:color w:val="000000" w:themeColor="text1"/>
                <w:kern w:val="0"/>
                <w14:textFill>
                  <w14:solidFill>
                    <w14:schemeClr w14:val="tx1"/>
                  </w14:solidFill>
                </w14:textFill>
              </w:rPr>
              <w:t>科特布斯市</w:t>
            </w:r>
            <w:r>
              <w:rPr>
                <w:rStyle w:val="36"/>
                <w:rFonts w:hint="eastAsia" w:ascii="仿宋" w:hAnsi="仿宋" w:eastAsia="仿宋" w:cs="宋体"/>
                <w:color w:val="000000" w:themeColor="text1"/>
                <w:kern w:val="0"/>
                <w14:textFill>
                  <w14:solidFill>
                    <w14:schemeClr w14:val="tx1"/>
                  </w14:solidFill>
                </w14:textFill>
              </w:rPr>
              <w:fldChar w:fldCharType="end"/>
            </w:r>
            <w:r>
              <w:rPr>
                <w:rFonts w:hint="eastAsia" w:ascii="仿宋" w:hAnsi="仿宋" w:eastAsia="仿宋" w:cs="宋体"/>
                <w:color w:val="000000" w:themeColor="text1"/>
                <w:kern w:val="0"/>
                <w14:textFill>
                  <w14:solidFill>
                    <w14:schemeClr w14:val="tx1"/>
                  </w14:solidFill>
                </w14:textFill>
              </w:rPr>
              <w:t>的一所工科性质的综合性大学。同时，该大学也是勃兰登堡州第一大重点工业大学且也是唯一的一所较大规模的大学。勃兰登堡工业大学是国际公认的，创新型的技术大学。重点专业为：环境、能源、材料、建筑、信息和通信技术。主要有四个学院：自然科学与计算机学院、建筑设计规划学院、机械电气工程学院、环境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1980" w:type="dxa"/>
            <w:tcBorders>
              <w:top w:val="single" w:color="auto" w:sz="4" w:space="0"/>
              <w:left w:val="single" w:color="auto" w:sz="4" w:space="0"/>
              <w:bottom w:val="single" w:color="auto" w:sz="4" w:space="0"/>
              <w:right w:val="single" w:color="auto" w:sz="4" w:space="0"/>
            </w:tcBorders>
            <w:vAlign w:val="center"/>
          </w:tcPr>
          <w:p>
            <w:pPr>
              <w:pStyle w:val="27"/>
              <w:widowControl/>
              <w:jc w:val="left"/>
              <w:rPr>
                <w:rFonts w:ascii="仿宋" w:hAnsi="仿宋" w:eastAsia="仿宋" w:cs="宋体"/>
                <w:b/>
                <w:color w:val="000000" w:themeColor="text1"/>
                <w:kern w:val="0"/>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tbl>
    <w:p>
      <w:pPr>
        <w:pStyle w:val="4"/>
        <w:jc w:val="center"/>
        <w:rPr>
          <w:rFonts w:ascii="仿宋" w:hAnsi="仿宋" w:eastAsia="仿宋"/>
          <w:sz w:val="36"/>
          <w:szCs w:val="36"/>
        </w:rPr>
      </w:pPr>
    </w:p>
    <w:p>
      <w:pPr>
        <w:pStyle w:val="4"/>
        <w:jc w:val="center"/>
        <w:rPr>
          <w:rFonts w:ascii="仿宋" w:hAnsi="仿宋" w:eastAsia="仿宋"/>
          <w:sz w:val="36"/>
          <w:szCs w:val="36"/>
        </w:rPr>
      </w:pPr>
      <w:bookmarkStart w:id="3" w:name="_Toc16075"/>
      <w:r>
        <w:rPr>
          <w:rFonts w:hint="eastAsia" w:ascii="仿宋" w:hAnsi="仿宋" w:eastAsia="仿宋"/>
          <w:sz w:val="36"/>
          <w:szCs w:val="36"/>
        </w:rPr>
        <w:t>西班牙马德里理工大学</w:t>
      </w:r>
      <w:bookmarkEnd w:id="3"/>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能源动力与机械工程学院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马德里理工大学始建于1971年，是西班牙办学规模最大、历史最悠久的专业性理工大学，同时也是西班牙专攻工程技术与自然科学的著名理工大学。雄厚的师资力量和强大的综合实力让马德里理工大学长期保持着在西班牙教育界的领先地位。其建筑、土木、机械、航空航天、能源等工程类专业均处于西班牙顶尖及欧洲的一流水平，在全世界也享有盛誉。学校由几所工程和建筑类学校合并而成，位于西班牙马德里自治区，其大部分校区位于自治区首府也是西班牙的首都马德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tbl>
    <w:p>
      <w:pPr>
        <w:pStyle w:val="27"/>
        <w:widowControl/>
        <w:shd w:val="clear" w:color="auto" w:fill="FFFFFF"/>
        <w:ind w:firstLine="420"/>
        <w:jc w:val="center"/>
        <w:rPr>
          <w:rFonts w:ascii="仿宋" w:hAnsi="仿宋" w:eastAsia="仿宋" w:cs="宋体"/>
          <w:b/>
          <w:bCs/>
          <w:color w:val="000000" w:themeColor="text1"/>
          <w:sz w:val="36"/>
          <w:szCs w:val="36"/>
          <w:shd w:val="clear" w:color="auto" w:fill="FFFFFF"/>
          <w14:textFill>
            <w14:solidFill>
              <w14:schemeClr w14:val="tx1"/>
            </w14:solidFill>
          </w14:textFill>
        </w:rPr>
      </w:pPr>
    </w:p>
    <w:p>
      <w:pPr>
        <w:pStyle w:val="4"/>
        <w:jc w:val="center"/>
        <w:rPr>
          <w:rFonts w:ascii="仿宋" w:hAnsi="仿宋" w:eastAsia="仿宋"/>
          <w:sz w:val="36"/>
          <w:szCs w:val="36"/>
        </w:rPr>
      </w:pPr>
      <w:bookmarkStart w:id="4" w:name="_Toc23354"/>
      <w:r>
        <w:rPr>
          <w:rFonts w:hint="eastAsia" w:ascii="仿宋" w:hAnsi="仿宋" w:eastAsia="仿宋"/>
          <w:sz w:val="36"/>
          <w:szCs w:val="36"/>
        </w:rPr>
        <w:t>加拿大里贾纳大学</w:t>
      </w:r>
      <w:bookmarkEnd w:id="4"/>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可再生能源学院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（4）较强的英语沟通能力（托福高于95或雅思高于6.5或通过对方的语言面试）。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里贾纳大学是加拿大和中国高校开展合作交流的首批外国高校。在加拿大综合类大学排名中保持前十，2016年被英国《泰晤士高等教育》列入世界新兴高校（创办历史不超过50年）排名前150名的高校名单，是获此荣誉的加拿大四所高校之一。本科专业：会计学、保险统计计算科学、人类学、管理学、市场营销、工商管理、生物化学、生物学、化学、计算机科学、通信、戏剧、教育学、环境生物学、财政学、地理学、地质学、新闻、运动机能学、数学、物理、心理学、公共管理、视觉艺术、宗教研究等等。、经济学、政治学、人类司法、社会学及社会研究、妇女研究、环境系统工程、电子信息系统、工业及石油系统、电影电视、体育管理、天文学、数学和统计学、音乐、历史、绘画、哲学等。2016年TIMES世界大学800强排名 501-600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tbl>
    <w:p>
      <w:pPr>
        <w:pStyle w:val="27"/>
        <w:widowControl/>
        <w:shd w:val="clear" w:color="auto" w:fill="FFFFFF"/>
        <w:ind w:firstLine="420"/>
        <w:jc w:val="center"/>
        <w:rPr>
          <w:rFonts w:ascii="仿宋" w:hAnsi="仿宋" w:eastAsia="仿宋" w:cs="宋体"/>
          <w:color w:val="000000" w:themeColor="text1"/>
          <w14:textFill>
            <w14:solidFill>
              <w14:schemeClr w14:val="tx1"/>
            </w14:solidFill>
          </w14:textFill>
        </w:rPr>
      </w:pPr>
    </w:p>
    <w:p>
      <w:pPr>
        <w:pStyle w:val="4"/>
        <w:jc w:val="center"/>
        <w:rPr>
          <w:rFonts w:ascii="仿宋" w:hAnsi="仿宋" w:eastAsia="仿宋" w:cs="宋体"/>
          <w:b w:val="0"/>
          <w:bCs/>
          <w:color w:val="000000" w:themeColor="text1"/>
          <w:sz w:val="36"/>
          <w:szCs w:val="36"/>
          <w:shd w:val="clear" w:color="auto" w:fill="FFFFFF"/>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ab/>
      </w:r>
      <w:bookmarkStart w:id="5" w:name="_Toc20562"/>
      <w:r>
        <w:rPr>
          <w:rFonts w:hint="eastAsia" w:ascii="仿宋" w:hAnsi="仿宋" w:eastAsia="仿宋"/>
          <w:sz w:val="36"/>
          <w:szCs w:val="36"/>
        </w:rPr>
        <w:t>波兰弗罗茨瓦夫理工大学</w:t>
      </w:r>
      <w:bookmarkEnd w:id="5"/>
    </w:p>
    <w:tbl>
      <w:tblPr>
        <w:tblStyle w:val="3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不限（本人需有</w:t>
            </w:r>
            <w:r>
              <w:rPr>
                <w:rFonts w:ascii="仿宋" w:hAnsi="仿宋" w:eastAsia="仿宋" w:cs="宋体"/>
                <w:color w:val="000000" w:themeColor="text1"/>
                <w14:textFill>
                  <w14:solidFill>
                    <w14:schemeClr w14:val="tx1"/>
                  </w14:solidFill>
                </w14:textFill>
              </w:rPr>
              <w:t>与</w:t>
            </w:r>
            <w:r>
              <w:rPr>
                <w:rFonts w:hint="eastAsia" w:ascii="仿宋" w:hAnsi="仿宋" w:eastAsia="仿宋" w:cs="宋体"/>
                <w:color w:val="000000" w:themeColor="text1"/>
                <w14:textFill>
                  <w14:solidFill>
                    <w14:schemeClr w14:val="tx1"/>
                  </w14:solidFill>
                </w14:textFill>
              </w:rPr>
              <w:t>波兰伙伴校符合的相关专业课程，具体</w:t>
            </w:r>
            <w:r>
              <w:rPr>
                <w:rFonts w:ascii="仿宋" w:hAnsi="仿宋" w:eastAsia="仿宋" w:cs="宋体"/>
                <w:color w:val="000000" w:themeColor="text1"/>
                <w14:textFill>
                  <w14:solidFill>
                    <w14:schemeClr w14:val="tx1"/>
                  </w14:solidFill>
                </w14:textFill>
              </w:rPr>
              <w:t>专业课程请赴波兰弗洛茨瓦夫理工大学官网查询</w:t>
            </w:r>
            <w:r>
              <w:rPr>
                <w:rFonts w:hint="eastAsia" w:ascii="仿宋" w:hAnsi="仿宋" w:eastAsia="仿宋"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10个免学费名额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（4）较强的英语沟通能力（无需雅思托福成绩，但需通过对方院校面试）。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弗罗兹瓦夫理工大学（以下简称弗理工）创建于1945年。大学前身是1910年成立的弗罗茨瓦夫理工学院。二次世界大战结束后，1945年11月15日弗理工开始了第一次授课，从此这天被大学定为奠基庆典日。作为波兰最大的理工科大学之一，弗理工现有在校学生31,936人，全日制学生25604人。分主校区弗罗茨瓦夫和三个分校区。至今160多年的学术遗产使弗罗茨瓦夫理工大学能够援引欧洲大学的传统，突出的研究与教学的成果使弗罗兹瓦夫理工大学跻身波兰最好的技术性大学，在</w:t>
            </w:r>
            <w:r>
              <w:rPr>
                <w:rFonts w:hint="eastAsia" w:ascii="仿宋" w:hAnsi="仿宋" w:eastAsia="仿宋" w:cs="宋体"/>
                <w:color w:val="000000" w:themeColor="text1"/>
                <w:sz w:val="24"/>
                <w14:textFill>
                  <w14:solidFill>
                    <w14:schemeClr w14:val="tx1"/>
                  </w14:solidFill>
                </w14:textFill>
              </w:rPr>
              <w:t>波兰高校Perspektywy ranking中综合排名第4，工程学科排名第2。</w:t>
            </w:r>
          </w:p>
        </w:tc>
      </w:tr>
    </w:tbl>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985" w:type="dxa"/>
            <w:vAlign w:val="center"/>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tbl>
    <w:p>
      <w:pPr>
        <w:pStyle w:val="27"/>
        <w:widowControl/>
        <w:shd w:val="clear" w:color="auto" w:fill="FFFFFF"/>
        <w:ind w:firstLine="420"/>
        <w:jc w:val="left"/>
        <w:rPr>
          <w:rFonts w:ascii="仿宋" w:hAnsi="仿宋" w:eastAsia="仿宋" w:cs="宋体"/>
          <w:color w:val="000000" w:themeColor="text1"/>
          <w14:textFill>
            <w14:solidFill>
              <w14:schemeClr w14:val="tx1"/>
            </w14:solidFill>
          </w14:textFill>
        </w:rPr>
      </w:pPr>
    </w:p>
    <w:p>
      <w:pPr>
        <w:rPr>
          <w:rFonts w:ascii="仿宋" w:hAnsi="仿宋" w:eastAsia="仿宋"/>
        </w:rPr>
      </w:pPr>
    </w:p>
    <w:p>
      <w:pPr>
        <w:pStyle w:val="4"/>
        <w:jc w:val="center"/>
        <w:rPr>
          <w:rFonts w:ascii="仿宋" w:hAnsi="仿宋" w:eastAsia="仿宋"/>
          <w:sz w:val="36"/>
          <w:szCs w:val="36"/>
        </w:rPr>
      </w:pPr>
      <w:bookmarkStart w:id="6" w:name="_Toc5328"/>
      <w:r>
        <w:rPr>
          <w:rFonts w:hint="eastAsia" w:ascii="仿宋" w:hAnsi="仿宋" w:eastAsia="仿宋"/>
          <w:sz w:val="36"/>
          <w:szCs w:val="36"/>
        </w:rPr>
        <w:t>克罗地亚萨格勒布大学</w:t>
      </w:r>
      <w:bookmarkEnd w:id="6"/>
    </w:p>
    <w:tbl>
      <w:tblPr>
        <w:tblStyle w:val="3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widowControl/>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控制与计算机学院，电气与电子工程学院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免学费，其余费用自理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（4）较强的英语沟通能力，达到欧盟要求</w:t>
            </w:r>
            <w:r>
              <w:rPr>
                <w:rFonts w:ascii="仿宋" w:hAnsi="仿宋" w:eastAsia="仿宋" w:cs="宋体"/>
                <w:color w:val="000000" w:themeColor="text1"/>
                <w:shd w:val="clear" w:color="auto" w:fill="FFFFFF"/>
                <w14:textFill>
                  <w14:solidFill>
                    <w14:schemeClr w14:val="tx1"/>
                  </w14:solidFill>
                </w14:textFill>
              </w:rPr>
              <w:t>B2</w:t>
            </w:r>
            <w:r>
              <w:rPr>
                <w:rFonts w:hint="eastAsia" w:ascii="仿宋" w:hAnsi="仿宋" w:eastAsia="仿宋" w:cs="宋体"/>
                <w:color w:val="000000" w:themeColor="text1"/>
                <w:shd w:val="clear" w:color="auto" w:fill="FFFFFF"/>
                <w14:textFill>
                  <w14:solidFill>
                    <w14:schemeClr w14:val="tx1"/>
                  </w14:solidFill>
                </w14:textFill>
              </w:rPr>
              <w:t>水平，获通过语言面试。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shd w:val="clear" w:color="auto" w:fill="FFFFFF"/>
                <w:lang w:bidi="ar"/>
                <w14:textFill>
                  <w14:solidFill>
                    <w14:schemeClr w14:val="tx1"/>
                  </w14:solidFill>
                </w14:textFill>
              </w:rPr>
              <w:t>萨格勒布大学位于克罗地亚首都萨格勒布，学校拥有7900名教师，70000余名学生。该校成立于1669年，是维也纳以南的中欧地区和欧洲东南部地区最古老的一所大学。同时，该校也是克罗地亚最大的一所大学。萨格勒布大学是一所全科综合性大学，学校设有全科学领域教研专业，包括艺术、生物医学、生物工程、工程学、人文科学、自然科学与社会科学。萨格勒布大学设有从本科到研究生阶段专业课程，共涵盖29个系所，3个艺术中心。萨格勒布大学是克罗地亚的研究中心，是国家教育机构的一面旗帜。</w:t>
            </w:r>
            <w:r>
              <w:rPr>
                <w:rFonts w:hint="eastAsia" w:ascii="仿宋" w:hAnsi="仿宋" w:eastAsia="仿宋" w:cs="宋体"/>
                <w:color w:val="000000" w:themeColor="text1"/>
                <w:sz w:val="24"/>
                <w14:textFill>
                  <w14:solidFill>
                    <w14:schemeClr w14:val="tx1"/>
                  </w14:solidFill>
                </w14:textFill>
              </w:rPr>
              <w:t>自1874年以来，萨格勒布大学共计培养超过20万名本科生，1万8千名硕士和8千名博士。2018世界大学排名（CWUR）位列第463名。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tbl>
    <w:p>
      <w:pPr>
        <w:pStyle w:val="27"/>
        <w:widowControl/>
        <w:shd w:val="clear" w:color="auto" w:fill="FFFFFF"/>
        <w:jc w:val="center"/>
        <w:rPr>
          <w:rFonts w:ascii="仿宋" w:hAnsi="仿宋" w:eastAsia="仿宋" w:cs="宋体"/>
          <w:b/>
          <w:bCs/>
          <w:color w:val="000000" w:themeColor="text1"/>
          <w:sz w:val="36"/>
          <w:szCs w:val="36"/>
          <w:shd w:val="clear" w:color="auto" w:fill="FFFFFF"/>
          <w14:textFill>
            <w14:solidFill>
              <w14:schemeClr w14:val="tx1"/>
            </w14:solidFill>
          </w14:textFill>
        </w:rPr>
      </w:pPr>
    </w:p>
    <w:p>
      <w:pPr>
        <w:pStyle w:val="4"/>
        <w:jc w:val="center"/>
        <w:rPr>
          <w:rFonts w:ascii="仿宋" w:hAnsi="仿宋" w:eastAsia="仿宋"/>
          <w:sz w:val="36"/>
          <w:szCs w:val="36"/>
        </w:rPr>
      </w:pPr>
      <w:bookmarkStart w:id="7" w:name="_Toc4920"/>
      <w:r>
        <w:rPr>
          <w:rFonts w:hint="eastAsia" w:ascii="仿宋" w:hAnsi="仿宋" w:eastAsia="仿宋"/>
          <w:sz w:val="36"/>
          <w:szCs w:val="36"/>
        </w:rPr>
        <w:t>韩国首尔市立大学</w:t>
      </w:r>
      <w:bookmarkEnd w:id="7"/>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2个免学费名额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详情请咨询韩国首尔市立大学官网</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https://www.uos.ac.kr/en/main.do?epTicket=LOG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资助</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首尔市立大学每月提供约2200元/月生活费用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（4）较强的英语沟通能力（建议提供语言成绩）。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首尔市立大学(英文：The University of Seoul 韩文：</w:t>
            </w:r>
            <w:r>
              <w:rPr>
                <w:rFonts w:hint="eastAsia" w:ascii="Malgun Gothic" w:hAnsi="Malgun Gothic" w:eastAsia="Malgun Gothic" w:cs="Malgun Gothic"/>
                <w:color w:val="000000" w:themeColor="text1"/>
                <w:shd w:val="clear" w:color="auto" w:fill="FFFFFF"/>
                <w14:textFill>
                  <w14:solidFill>
                    <w14:schemeClr w14:val="tx1"/>
                  </w14:solidFill>
                </w14:textFill>
              </w:rPr>
              <w:t>서울시립대학교</w:t>
            </w:r>
            <w:r>
              <w:rPr>
                <w:rFonts w:hint="eastAsia" w:ascii="仿宋" w:hAnsi="仿宋" w:eastAsia="仿宋" w:cs="宋体"/>
                <w:color w:val="000000" w:themeColor="text1"/>
                <w:shd w:val="clear" w:color="auto" w:fill="FFFFFF"/>
                <w14:textFill>
                  <w14:solidFill>
                    <w14:schemeClr w14:val="tx1"/>
                  </w14:solidFill>
                </w14:textFill>
              </w:rPr>
              <w:t xml:space="preserve"> 中文：首尔市立大学校)，简称UOS，成立于1918年，位于韩国首尔特别市，是韩国国内一所一流综合性公立大学，也是享誉亚洲的前百强名校之一。近年来因为实行“半价学费”策略，得到首尔市政府的大力支持，通过大幅提高高考分数，吸引了很多顶尖的韩国高中生报考该校，使得名气大涨。在本国权威性中央日报大学评价中位列第14位，QS亚洲大学排名位列第112位，QS世界大学排名第650位。学校为社会培养了大量适应城市社会要求的具有指导能力的人才，众多优秀的人才进入韩国的知名企业如SK，三星电子等。首尔市立大学学院设置：法定学院、城市科学学院、经商学院、人本学院、物理科学学院、工科学院、艺术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tbl>
    <w:p>
      <w:pPr>
        <w:pStyle w:val="27"/>
        <w:widowControl/>
        <w:shd w:val="clear" w:color="auto" w:fill="FFFFFF"/>
        <w:jc w:val="center"/>
        <w:rPr>
          <w:rFonts w:ascii="仿宋" w:hAnsi="仿宋" w:eastAsia="仿宋" w:cs="宋体"/>
          <w:b/>
          <w:bCs/>
          <w:color w:val="000000" w:themeColor="text1"/>
          <w:shd w:val="clear" w:color="auto" w:fill="FFFFFF"/>
          <w14:textFill>
            <w14:solidFill>
              <w14:schemeClr w14:val="tx1"/>
            </w14:solidFill>
          </w14:textFill>
        </w:rPr>
      </w:pPr>
    </w:p>
    <w:p>
      <w:pPr>
        <w:pStyle w:val="4"/>
        <w:jc w:val="center"/>
        <w:rPr>
          <w:rFonts w:ascii="仿宋" w:hAnsi="仿宋" w:eastAsia="仿宋"/>
          <w:sz w:val="36"/>
          <w:szCs w:val="36"/>
        </w:rPr>
      </w:pPr>
      <w:bookmarkStart w:id="8" w:name="_Toc20164"/>
      <w:r>
        <w:rPr>
          <w:rFonts w:hint="eastAsia" w:ascii="仿宋" w:hAnsi="仿宋" w:eastAsia="仿宋"/>
          <w:sz w:val="36"/>
          <w:szCs w:val="36"/>
        </w:rPr>
        <w:t>韩国庆北大学</w:t>
      </w:r>
      <w:bookmarkEnd w:id="8"/>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ind w:left="226" w:right="226"/>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每年选拔2名优秀本科生或研究生进行一学期的学习。学生学习结束后，可将相关学分转换回我校。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w:t>
            </w:r>
            <w:r>
              <w:rPr>
                <w:rFonts w:hint="eastAsia" w:ascii="仿宋" w:hAnsi="仿宋" w:eastAsia="仿宋" w:cs="宋体"/>
                <w:color w:val="000000" w:themeColor="text1"/>
                <w:shd w:val="clear" w:color="auto" w:fill="FFFFFF"/>
                <w14:textFill>
                  <w14:solidFill>
                    <w14:schemeClr w14:val="tx1"/>
                  </w14:solidFill>
                </w14:textFill>
              </w:rPr>
              <w:t>一个学期的宿舍费大概1000美元包括一日三餐。</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详情请咨询庆北大学官网http://cn.knu.ac.kr/admission/exchange01.htm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27"/>
              <w:widowControl/>
              <w:ind w:right="226"/>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（4）有韩语语言成绩者优先。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s="宋体"/>
                <w:color w:val="000000" w:themeColor="text1"/>
                <w:shd w:val="clear" w:color="auto" w:fill="FFFFFF"/>
                <w14:textFill>
                  <w14:solidFill>
                    <w14:schemeClr w14:val="tx1"/>
                  </w14:solidFill>
                </w14:textFill>
              </w:rPr>
              <w:t>，择优录取。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Style w:val="33"/>
                <w:rFonts w:hint="eastAsia" w:ascii="仿宋" w:hAnsi="仿宋" w:eastAsia="仿宋" w:cs="宋体"/>
                <w:b w:val="0"/>
                <w:bCs/>
                <w:color w:val="000000" w:themeColor="text1"/>
                <w:shd w:val="clear" w:color="auto" w:fill="FFFFFF"/>
                <w14:textFill>
                  <w14:solidFill>
                    <w14:schemeClr w14:val="tx1"/>
                  </w14:solidFill>
                </w14:textFill>
              </w:rPr>
              <w:t>庆北大学</w:t>
            </w:r>
            <w:r>
              <w:rPr>
                <w:rFonts w:hint="eastAsia" w:ascii="仿宋" w:hAnsi="仿宋" w:eastAsia="仿宋" w:cs="宋体"/>
                <w:bCs/>
                <w:color w:val="000000" w:themeColor="text1"/>
                <w:shd w:val="clear" w:color="auto" w:fill="FFFFFF"/>
                <w14:textFill>
                  <w14:solidFill>
                    <w14:schemeClr w14:val="tx1"/>
                  </w14:solidFill>
                </w14:textFill>
              </w:rPr>
              <w:t>是韩国的一所国立大学，也是韩国10所国立旗帜大学之一，于1946年由大邱师大、大邱医大和大邱农大三所大学合并而成，在1951年设立了文理科学院和政法学院后，正式成为综合性国立大学，2008年3月与尚州大学合并。作为教育、研究和学术的中心发挥着最强的力量并取得了耀眼的成果，是韩国代表性的国立大学， 同时也是被世界认可的知识先导大学。开设大邱校园（主校区）和尚州校园两个校区。设置本科、硕士和博士课程，由16个学院、4个直属学院和14个研究生院组成。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tbl>
    <w:p>
      <w:pPr>
        <w:pStyle w:val="27"/>
        <w:widowControl/>
        <w:shd w:val="clear" w:color="auto" w:fill="FFFFFF"/>
        <w:jc w:val="center"/>
        <w:rPr>
          <w:rFonts w:ascii="仿宋" w:hAnsi="仿宋" w:eastAsia="仿宋" w:cs="宋体"/>
          <w:b/>
          <w:bCs/>
          <w:color w:val="000000" w:themeColor="text1"/>
          <w:sz w:val="36"/>
          <w:szCs w:val="36"/>
          <w:shd w:val="clear" w:color="auto" w:fill="FFFFFF"/>
          <w14:textFill>
            <w14:solidFill>
              <w14:schemeClr w14:val="tx1"/>
            </w14:solidFill>
          </w14:textFill>
        </w:rPr>
      </w:pPr>
    </w:p>
    <w:p>
      <w:pPr>
        <w:pStyle w:val="4"/>
        <w:jc w:val="center"/>
        <w:rPr>
          <w:rFonts w:ascii="仿宋" w:hAnsi="仿宋" w:eastAsia="仿宋"/>
          <w:sz w:val="36"/>
          <w:szCs w:val="36"/>
        </w:rPr>
      </w:pPr>
      <w:bookmarkStart w:id="9" w:name="_Toc26755"/>
      <w:r>
        <w:rPr>
          <w:rFonts w:hint="eastAsia" w:ascii="仿宋" w:hAnsi="仿宋" w:eastAsia="仿宋"/>
          <w:sz w:val="36"/>
          <w:szCs w:val="36"/>
        </w:rPr>
        <w:t>韩国光云大学</w:t>
      </w:r>
      <w:bookmarkEnd w:id="9"/>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每学期选派2名优秀本科生进行交流学习。学习结束后，学生可将相关学分转换回我校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免学费，1学期所有生活费用大约为20000人民币</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详情请咨询韩国光云大学官网https://www.kw.ac.kr/en/index.do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（4）有韩语语言成绩者优先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pacing w:val="8"/>
                <w:shd w:val="clear" w:color="auto" w:fill="FFFFFF"/>
                <w14:textFill>
                  <w14:solidFill>
                    <w14:schemeClr w14:val="tx1"/>
                  </w14:solidFill>
                </w14:textFill>
              </w:rPr>
              <w:t>光云大学创立于1938年，位于首尔芦原区。为韩国著名的理工科大学，在电子技术和计算机领域驰名韩国，它在韩国开创了电子工学研究的历史，同时这里也孕育了韩国第一个机器人学部（系），其学生在历届全球机器人大赛中屡次取得较好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tbl>
    <w:p>
      <w:pPr>
        <w:pStyle w:val="27"/>
        <w:widowControl/>
        <w:shd w:val="clear" w:color="auto" w:fill="FFFFFF"/>
        <w:jc w:val="center"/>
        <w:rPr>
          <w:rFonts w:ascii="仿宋" w:hAnsi="仿宋" w:eastAsia="仿宋" w:cs="宋体"/>
          <w:b/>
          <w:bCs/>
          <w:color w:val="000000" w:themeColor="text1"/>
          <w:sz w:val="36"/>
          <w:szCs w:val="36"/>
          <w:shd w:val="clear" w:color="auto" w:fill="FFFFFF"/>
          <w14:textFill>
            <w14:solidFill>
              <w14:schemeClr w14:val="tx1"/>
            </w14:solidFill>
          </w14:textFill>
        </w:rPr>
      </w:pPr>
    </w:p>
    <w:p>
      <w:pPr>
        <w:pStyle w:val="29"/>
        <w:rPr>
          <w:rFonts w:ascii="仿宋" w:hAnsi="仿宋" w:eastAsia="仿宋"/>
          <w:sz w:val="40"/>
        </w:rPr>
      </w:pPr>
      <w:bookmarkStart w:id="10" w:name="_Toc9230"/>
      <w:r>
        <w:rPr>
          <w:rFonts w:hint="eastAsia" w:ascii="仿宋" w:hAnsi="仿宋" w:eastAsia="仿宋"/>
          <w:sz w:val="40"/>
        </w:rPr>
        <w:t>自费项目</w:t>
      </w:r>
      <w:bookmarkEnd w:id="10"/>
    </w:p>
    <w:p>
      <w:pPr>
        <w:pStyle w:val="4"/>
        <w:jc w:val="center"/>
        <w:rPr>
          <w:rFonts w:ascii="仿宋" w:hAnsi="仿宋" w:eastAsia="仿宋"/>
          <w:sz w:val="36"/>
          <w:szCs w:val="36"/>
        </w:rPr>
      </w:pPr>
      <w:bookmarkStart w:id="11" w:name="_Toc19783"/>
      <w:r>
        <w:rPr>
          <w:rFonts w:hint="eastAsia" w:ascii="仿宋" w:hAnsi="仿宋" w:eastAsia="仿宋"/>
          <w:sz w:val="36"/>
          <w:szCs w:val="36"/>
        </w:rPr>
        <w:t>捷克技术大学</w:t>
      </w:r>
      <w:bookmarkEnd w:id="11"/>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电气与电子工程学院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学费每学期约为</w:t>
            </w:r>
            <w:r>
              <w:rPr>
                <w:rFonts w:ascii="仿宋" w:hAnsi="仿宋" w:eastAsia="仿宋" w:cs="宋体"/>
                <w:color w:val="000000" w:themeColor="text1"/>
                <w14:textFill>
                  <w14:solidFill>
                    <w14:schemeClr w14:val="tx1"/>
                  </w14:solidFill>
                </w14:textFill>
              </w:rPr>
              <w:t>1650</w:t>
            </w:r>
            <w:r>
              <w:rPr>
                <w:rFonts w:hint="eastAsia" w:ascii="仿宋" w:hAnsi="仿宋" w:eastAsia="仿宋" w:cs="宋体"/>
                <w:color w:val="000000" w:themeColor="text1"/>
                <w14:textFill>
                  <w14:solidFill>
                    <w14:schemeClr w14:val="tx1"/>
                  </w14:solidFill>
                </w14:textFill>
              </w:rPr>
              <w:t>欧元</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请咨询捷克技术大学官网</w:t>
            </w:r>
            <w:r>
              <w:fldChar w:fldCharType="begin"/>
            </w:r>
            <w:r>
              <w:instrText xml:space="preserve"> HYPERLINK "http://www.baidu.com/link?url=ZEVf4AyPgeL1qlOi-8NYLvDJ-rjZ_NrqAS_G1x-OhM3" \t "_blank" </w:instrText>
            </w:r>
            <w:r>
              <w:fldChar w:fldCharType="separate"/>
            </w:r>
            <w:r>
              <w:rPr>
                <w:rStyle w:val="36"/>
                <w:rFonts w:ascii="仿宋" w:hAnsi="仿宋" w:eastAsia="仿宋" w:cs="Arial"/>
                <w:color w:val="000000" w:themeColor="text1"/>
                <w:sz w:val="20"/>
                <w:szCs w:val="20"/>
                <w:shd w:val="clear" w:color="auto" w:fill="FFFFFF"/>
                <w14:textFill>
                  <w14:solidFill>
                    <w14:schemeClr w14:val="tx1"/>
                  </w14:solidFill>
                </w14:textFill>
              </w:rPr>
              <w:t>https://www.cvut.cz/</w:t>
            </w:r>
            <w:r>
              <w:rPr>
                <w:rStyle w:val="36"/>
                <w:rFonts w:ascii="仿宋" w:hAnsi="仿宋" w:eastAsia="仿宋" w:cs="Arial"/>
                <w:color w:val="000000" w:themeColor="text1"/>
                <w:sz w:val="20"/>
                <w:szCs w:val="20"/>
                <w:shd w:val="clear" w:color="auto" w:fill="FFFFFF"/>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（4）较强的英语沟通能力，雅思托福达到欧洲要求b2以上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捷克技术大学是中欧最古老技术大学，工科的教育在捷克有相当长时间的传统。她的前身是1806年成立的工业学院。该校于1920年被核准为大学并更名为捷克技术大学。捷克技术大学是著名的理工科大学，历史悠久，教学科研能力强，捷克技术大学已经跻身于欧洲一流理工大学之列。捷克技术大学的电气工程学院（</w:t>
            </w:r>
            <w:r>
              <w:rPr>
                <w:rFonts w:ascii="仿宋" w:hAnsi="仿宋" w:eastAsia="仿宋" w:cs="宋体"/>
                <w:color w:val="000000" w:themeColor="text1"/>
                <w:sz w:val="24"/>
                <w:shd w:val="clear" w:color="auto" w:fill="FFFFFF"/>
                <w14:textFill>
                  <w14:solidFill>
                    <w14:schemeClr w14:val="tx1"/>
                  </w14:solidFill>
                </w14:textFill>
              </w:rPr>
              <w:t>F</w:t>
            </w:r>
            <w:r>
              <w:rPr>
                <w:rFonts w:hint="eastAsia" w:ascii="仿宋" w:hAnsi="仿宋" w:eastAsia="仿宋" w:cs="宋体"/>
                <w:color w:val="000000" w:themeColor="text1"/>
                <w:sz w:val="24"/>
                <w:shd w:val="clear" w:color="auto" w:fill="FFFFFF"/>
                <w14:textFill>
                  <w14:solidFill>
                    <w14:schemeClr w14:val="tx1"/>
                  </w14:solidFill>
                </w14:textFill>
              </w:rPr>
              <w:t>aculty of EE）是该领域全球五大研发和教学机构之一。电力牵引与控制是捷克技术大学教学和科研的强项学科。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tbl>
    <w:p>
      <w:pPr>
        <w:pStyle w:val="27"/>
        <w:widowControl/>
        <w:shd w:val="clear" w:color="auto" w:fill="FFFFFF"/>
        <w:rPr>
          <w:rFonts w:ascii="仿宋" w:hAnsi="仿宋" w:eastAsia="仿宋" w:cs="宋体"/>
          <w:b/>
          <w:bCs/>
          <w:color w:val="000000" w:themeColor="text1"/>
          <w:sz w:val="36"/>
          <w:szCs w:val="36"/>
          <w:shd w:val="clear" w:color="auto" w:fill="FFFFFF"/>
          <w14:textFill>
            <w14:solidFill>
              <w14:schemeClr w14:val="tx1"/>
            </w14:solidFill>
          </w14:textFill>
        </w:rPr>
      </w:pPr>
    </w:p>
    <w:p>
      <w:pPr>
        <w:pStyle w:val="4"/>
        <w:jc w:val="center"/>
        <w:rPr>
          <w:rFonts w:ascii="仿宋" w:hAnsi="仿宋" w:eastAsia="仿宋"/>
          <w:sz w:val="36"/>
          <w:szCs w:val="36"/>
        </w:rPr>
      </w:pPr>
      <w:bookmarkStart w:id="12" w:name="_Toc7042"/>
      <w:r>
        <w:rPr>
          <w:rFonts w:hint="eastAsia" w:ascii="仿宋" w:hAnsi="仿宋" w:eastAsia="仿宋"/>
          <w:sz w:val="36"/>
          <w:szCs w:val="36"/>
        </w:rPr>
        <w:t>英国巴斯大学</w:t>
      </w:r>
      <w:bookmarkEnd w:id="12"/>
    </w:p>
    <w:tbl>
      <w:tblPr>
        <w:tblStyle w:val="31"/>
        <w:tblW w:w="86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bookmarkStart w:id="13" w:name="_Hlk24745797"/>
            <w:r>
              <w:rPr>
                <w:rFonts w:hint="eastAsia" w:ascii="仿宋" w:hAnsi="仿宋" w:eastAsia="仿宋" w:cs="宋体"/>
                <w:color w:val="000000" w:themeColor="text1"/>
                <w:kern w:val="0"/>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选拔优秀本科生赴英国巴斯大学进行学习。学习结束后，学生可将相关学分转换回我校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spacing w:val="15"/>
                <w:kern w:val="0"/>
                <w14:textFill>
                  <w14:solidFill>
                    <w14:schemeClr w14:val="tx1"/>
                  </w14:solidFill>
                </w14:textFill>
              </w:rPr>
              <w:t>在巴斯大学在Faculty of Engineering &amp;Design</w:t>
            </w:r>
            <w:r>
              <w:rPr>
                <w:rStyle w:val="37"/>
                <w:rFonts w:ascii="Calibri" w:hAnsi="Calibri" w:eastAsia="仿宋" w:cs="Calibri"/>
                <w:color w:val="000000" w:themeColor="text1"/>
                <w:spacing w:val="15"/>
                <w:kern w:val="0"/>
                <w14:textFill>
                  <w14:solidFill>
                    <w14:schemeClr w14:val="tx1"/>
                  </w14:solidFill>
                </w14:textFill>
              </w:rPr>
              <w:t> </w:t>
            </w:r>
            <w:r>
              <w:rPr>
                <w:rFonts w:hint="eastAsia" w:ascii="仿宋" w:hAnsi="仿宋" w:eastAsia="仿宋" w:cs="宋体"/>
                <w:color w:val="000000" w:themeColor="text1"/>
                <w:spacing w:val="15"/>
                <w:kern w:val="0"/>
                <w14:textFill>
                  <w14:solidFill>
                    <w14:schemeClr w14:val="tx1"/>
                  </w14:solidFill>
                </w14:textFill>
              </w:rPr>
              <w:t>进行交换学习，有相关专业课程的同学即可申请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spacing w:val="15"/>
                <w:kern w:val="0"/>
                <w14:textFill>
                  <w14:solidFill>
                    <w14:schemeClr w14:val="tx1"/>
                  </w14:solidFill>
                </w14:textFill>
              </w:rPr>
              <w:t>学费为巴斯大学官方学费的70%</w:t>
            </w:r>
          </w:p>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详细请查询巴斯大学官网</w:t>
            </w:r>
            <w:r>
              <w:fldChar w:fldCharType="begin"/>
            </w:r>
            <w:r>
              <w:instrText xml:space="preserve"> HYPERLINK "https://www.bath.ac.uk/" </w:instrText>
            </w:r>
            <w:r>
              <w:fldChar w:fldCharType="separate"/>
            </w:r>
            <w:r>
              <w:rPr>
                <w:rStyle w:val="36"/>
                <w:rFonts w:hint="eastAsia" w:ascii="仿宋" w:hAnsi="仿宋" w:eastAsia="仿宋" w:cs="宋体"/>
                <w:color w:val="000000" w:themeColor="text1"/>
                <w:kern w:val="0"/>
                <w14:textFill>
                  <w14:solidFill>
                    <w14:schemeClr w14:val="tx1"/>
                  </w14:solidFill>
                </w14:textFill>
              </w:rPr>
              <w:t>https://www.bath.ac.uk/</w:t>
            </w:r>
            <w:r>
              <w:rPr>
                <w:rStyle w:val="36"/>
                <w:rFonts w:hint="eastAsia" w:ascii="仿宋" w:hAnsi="仿宋" w:eastAsia="仿宋" w:cs="宋体"/>
                <w:color w:val="000000" w:themeColor="text1"/>
                <w:kern w:val="0"/>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资助</w:t>
            </w:r>
          </w:p>
        </w:tc>
        <w:tc>
          <w:tcPr>
            <w:tcW w:w="6515" w:type="dxa"/>
          </w:tcPr>
          <w:p>
            <w:pPr>
              <w:widowControl/>
              <w:shd w:val="clear" w:color="auto" w:fill="FFFFFF"/>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15"/>
                <w:kern w:val="0"/>
                <w:sz w:val="24"/>
                <w14:textFill>
                  <w14:solidFill>
                    <w14:schemeClr w14:val="tx1"/>
                  </w14:solidFill>
                </w14:textFill>
              </w:rPr>
              <w:t>1．学费为巴斯大学官方学费的70%。</w:t>
            </w:r>
          </w:p>
          <w:p>
            <w:pPr>
              <w:widowControl/>
              <w:shd w:val="clear" w:color="auto" w:fill="FFFFFF"/>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15"/>
                <w:kern w:val="0"/>
                <w:sz w:val="24"/>
                <w14:textFill>
                  <w14:solidFill>
                    <w14:schemeClr w14:val="tx1"/>
                  </w14:solidFill>
                </w14:textFill>
              </w:rPr>
              <w:t>2.</w:t>
            </w:r>
            <w:r>
              <w:rPr>
                <w:rFonts w:ascii="Calibri" w:hAnsi="Calibri" w:eastAsia="仿宋" w:cs="Calibri"/>
                <w:color w:val="000000" w:themeColor="text1"/>
                <w:spacing w:val="15"/>
                <w:kern w:val="0"/>
                <w:sz w:val="24"/>
                <w14:textFill>
                  <w14:solidFill>
                    <w14:schemeClr w14:val="tx1"/>
                  </w14:solidFill>
                </w14:textFill>
              </w:rPr>
              <w:t> </w:t>
            </w:r>
            <w:r>
              <w:rPr>
                <w:rFonts w:hint="eastAsia" w:ascii="仿宋" w:hAnsi="仿宋" w:eastAsia="仿宋" w:cs="宋体"/>
                <w:color w:val="000000" w:themeColor="text1"/>
                <w:spacing w:val="8"/>
                <w:kern w:val="0"/>
                <w:sz w:val="24"/>
                <w14:textFill>
                  <w14:solidFill>
                    <w14:schemeClr w14:val="tx1"/>
                  </w14:solidFill>
                </w14:textFill>
              </w:rPr>
              <w:t>根据《华北电力大学优秀本科生赴境外交流学习资助管理办法（试行）》，符合条件的同学可获得一学期5000元，一学年10000元的校内资助。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申请条件</w:t>
            </w:r>
          </w:p>
        </w:tc>
        <w:tc>
          <w:tcPr>
            <w:tcW w:w="6515" w:type="dxa"/>
          </w:tcPr>
          <w:p>
            <w:pPr>
              <w:widowControl/>
              <w:shd w:val="clear" w:color="auto" w:fill="FFFFFF"/>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15"/>
                <w:kern w:val="0"/>
                <w:sz w:val="24"/>
                <w14:textFill>
                  <w14:solidFill>
                    <w14:schemeClr w14:val="tx1"/>
                  </w14:solidFill>
                </w14:textFill>
              </w:rPr>
              <w:t>1.</w:t>
            </w:r>
            <w:r>
              <w:rPr>
                <w:rFonts w:ascii="Calibri" w:hAnsi="Calibri" w:eastAsia="仿宋" w:cs="Calibri"/>
                <w:color w:val="000000" w:themeColor="text1"/>
                <w:spacing w:val="15"/>
                <w:kern w:val="0"/>
                <w:sz w:val="24"/>
                <w14:textFill>
                  <w14:solidFill>
                    <w14:schemeClr w14:val="tx1"/>
                  </w14:solidFill>
                </w14:textFill>
              </w:rPr>
              <w:t> </w:t>
            </w:r>
            <w:r>
              <w:rPr>
                <w:rFonts w:hint="eastAsia" w:ascii="仿宋" w:hAnsi="仿宋" w:eastAsia="仿宋" w:cs="宋体"/>
                <w:color w:val="000000" w:themeColor="text1"/>
                <w:spacing w:val="15"/>
                <w:kern w:val="0"/>
                <w:sz w:val="24"/>
                <w14:textFill>
                  <w14:solidFill>
                    <w14:schemeClr w14:val="tx1"/>
                  </w14:solidFill>
                </w14:textFill>
              </w:rPr>
              <w:t>成绩要求：平均分不低于80分</w:t>
            </w:r>
          </w:p>
          <w:p>
            <w:pPr>
              <w:widowControl/>
              <w:shd w:val="clear" w:color="auto" w:fill="FFFFFF"/>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15"/>
                <w:kern w:val="0"/>
                <w:sz w:val="24"/>
                <w14:textFill>
                  <w14:solidFill>
                    <w14:schemeClr w14:val="tx1"/>
                  </w14:solidFill>
                </w14:textFill>
              </w:rPr>
              <w:t>2.</w:t>
            </w:r>
            <w:r>
              <w:rPr>
                <w:rFonts w:ascii="Calibri" w:hAnsi="Calibri" w:eastAsia="仿宋" w:cs="Calibri"/>
                <w:color w:val="000000" w:themeColor="text1"/>
                <w:spacing w:val="15"/>
                <w:kern w:val="0"/>
                <w:sz w:val="24"/>
                <w14:textFill>
                  <w14:solidFill>
                    <w14:schemeClr w14:val="tx1"/>
                  </w14:solidFill>
                </w14:textFill>
              </w:rPr>
              <w:t> </w:t>
            </w:r>
            <w:r>
              <w:rPr>
                <w:rFonts w:hint="eastAsia" w:ascii="仿宋" w:hAnsi="仿宋" w:eastAsia="仿宋" w:cs="宋体"/>
                <w:color w:val="000000" w:themeColor="text1"/>
                <w:spacing w:val="15"/>
                <w:kern w:val="0"/>
                <w:sz w:val="24"/>
                <w14:textFill>
                  <w14:solidFill>
                    <w14:schemeClr w14:val="tx1"/>
                  </w14:solidFill>
                </w14:textFill>
              </w:rPr>
              <w:t>外语要求：雅思成绩不低于6.5且写作小分不低于6分，其余各项小分不低于5.5分。若平均分不低于85分，则雅思成绩在6分及以上即可。或托福的机考成绩不低于92分。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校内申请材料</w:t>
            </w:r>
          </w:p>
        </w:tc>
        <w:tc>
          <w:tcPr>
            <w:tcW w:w="6515" w:type="dxa"/>
          </w:tcPr>
          <w:p>
            <w:pPr>
              <w:widowControl/>
              <w:shd w:val="clear" w:color="auto" w:fill="FFFFFF"/>
              <w:ind w:firstLine="450"/>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15"/>
                <w:kern w:val="0"/>
                <w:sz w:val="24"/>
                <w14:textFill>
                  <w14:solidFill>
                    <w14:schemeClr w14:val="tx1"/>
                  </w14:solidFill>
                </w14:textFill>
              </w:rPr>
              <w:t>1.个人相关中文成绩单</w:t>
            </w:r>
          </w:p>
          <w:p>
            <w:pPr>
              <w:widowControl/>
              <w:shd w:val="clear" w:color="auto" w:fill="FFFFFF"/>
              <w:ind w:firstLine="450"/>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15"/>
                <w:kern w:val="0"/>
                <w:sz w:val="24"/>
                <w14:textFill>
                  <w14:solidFill>
                    <w14:schemeClr w14:val="tx1"/>
                  </w14:solidFill>
                </w14:textFill>
              </w:rPr>
              <w:t>2.个人相关外语成绩证明</w:t>
            </w:r>
          </w:p>
          <w:p>
            <w:pPr>
              <w:widowControl/>
              <w:shd w:val="clear" w:color="auto" w:fill="FFFFFF"/>
              <w:ind w:firstLine="450"/>
              <w:rPr>
                <w:rFonts w:ascii="仿宋" w:hAnsi="仿宋" w:eastAsia="仿宋" w:cs="宋体"/>
                <w:color w:val="000000" w:themeColor="text1"/>
                <w:spacing w:val="8"/>
                <w:kern w:val="0"/>
                <w:sz w:val="24"/>
                <w14:textFill>
                  <w14:solidFill>
                    <w14:schemeClr w14:val="tx1"/>
                  </w14:solidFill>
                </w14:textFill>
              </w:rPr>
            </w:pPr>
            <w:r>
              <w:rPr>
                <w:rFonts w:hint="eastAsia" w:ascii="仿宋" w:hAnsi="仿宋" w:eastAsia="仿宋" w:cs="宋体"/>
                <w:color w:val="000000" w:themeColor="text1"/>
                <w:spacing w:val="15"/>
                <w:kern w:val="0"/>
                <w:sz w:val="24"/>
                <w14:textFill>
                  <w14:solidFill>
                    <w14:schemeClr w14:val="tx1"/>
                  </w14:solidFill>
                </w14:textFill>
              </w:rPr>
              <w:t>3.个人护照的复印件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交流院系介绍</w:t>
            </w:r>
          </w:p>
        </w:tc>
        <w:tc>
          <w:tcPr>
            <w:tcW w:w="6515" w:type="dxa"/>
          </w:tcPr>
          <w:p>
            <w:pPr>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巴斯大学建校于1966年，是一所年轻但发展迅速的综合型大学，全英排名前10，今年恰逢其50周年校庆。学校共有15000多名在读生，其中25%为来自超过100多个国家的留学生。巴斯大学一直以其学生满意度闻名，在2015年国家学生调查和泰晤士高等教育学生体验调查中均位列全英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pStyle w:val="27"/>
              <w:widowControl/>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报名咨询方式</w:t>
            </w:r>
          </w:p>
        </w:tc>
        <w:tc>
          <w:tcPr>
            <w:tcW w:w="6515" w:type="dxa"/>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bookmarkEnd w:id="13"/>
    </w:tbl>
    <w:p>
      <w:pPr>
        <w:jc w:val="center"/>
        <w:rPr>
          <w:rFonts w:ascii="仿宋" w:hAnsi="仿宋" w:eastAsia="仿宋" w:cs="宋体"/>
          <w:b/>
          <w:bCs/>
          <w:color w:val="000000" w:themeColor="text1"/>
          <w:sz w:val="24"/>
          <w14:textFill>
            <w14:solidFill>
              <w14:schemeClr w14:val="tx1"/>
            </w14:solidFill>
          </w14:textFill>
        </w:rPr>
      </w:pPr>
    </w:p>
    <w:p>
      <w:pPr>
        <w:pStyle w:val="4"/>
        <w:jc w:val="center"/>
        <w:rPr>
          <w:rFonts w:hint="eastAsia" w:ascii="仿宋" w:hAnsi="仿宋" w:eastAsia="仿宋"/>
          <w:sz w:val="36"/>
          <w:szCs w:val="36"/>
        </w:rPr>
      </w:pPr>
      <w:bookmarkStart w:id="14" w:name="OLE_LINK16"/>
    </w:p>
    <w:p>
      <w:pPr>
        <w:pStyle w:val="4"/>
        <w:jc w:val="center"/>
        <w:rPr>
          <w:rFonts w:ascii="仿宋" w:hAnsi="仿宋" w:eastAsia="仿宋"/>
          <w:sz w:val="36"/>
          <w:szCs w:val="36"/>
        </w:rPr>
      </w:pPr>
      <w:bookmarkStart w:id="15" w:name="_Toc31438"/>
      <w:r>
        <w:rPr>
          <w:rFonts w:hint="eastAsia" w:ascii="仿宋" w:hAnsi="仿宋" w:eastAsia="仿宋"/>
          <w:sz w:val="36"/>
          <w:szCs w:val="36"/>
        </w:rPr>
        <w:t>美国威斯康星大学密尔沃基分校（毕业设计项目）</w:t>
      </w:r>
      <w:bookmarkEnd w:id="14"/>
      <w:bookmarkEnd w:id="15"/>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p>
          <w:p>
            <w:pPr>
              <w:pStyle w:val="27"/>
              <w:widowControl/>
              <w:jc w:val="left"/>
              <w:rPr>
                <w:rFonts w:ascii="仿宋" w:hAnsi="仿宋" w:eastAsia="仿宋" w:cs="宋体"/>
                <w:color w:val="000000" w:themeColor="text1"/>
                <w14:textFill>
                  <w14:solidFill>
                    <w14:schemeClr w14:val="tx1"/>
                  </w14:solidFill>
                </w14:textFill>
              </w:rPr>
            </w:pP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项目内容</w:t>
            </w:r>
          </w:p>
        </w:tc>
        <w:tc>
          <w:tcPr>
            <w:tcW w:w="6515" w:type="dxa"/>
          </w:tcPr>
          <w:p>
            <w:pPr>
              <w:widowControl/>
              <w:shd w:val="clear" w:color="auto" w:fill="FFFFFF"/>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（1）1月底 -5月底在美国威斯康星大学密尔沃基分校完成毕业设计，同时可在该校选择一门课程进行学习。</w:t>
            </w:r>
          </w:p>
          <w:p>
            <w:pPr>
              <w:widowControl/>
              <w:shd w:val="clear" w:color="auto" w:fill="FFFFFF"/>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（2）5月底在美国威斯康星大学密尔沃基分校进行毕业论文答辩，答辩通过后将获得该校的论文成绩及学分，可转换为我校毕业论文的成绩与学分。所有参加项目的同学须回华电进行毕业论文答辩。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电气与电子工程学院、能源动力与机械工程学院、控制与计算机工程学院、可再生能源学院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申请时为大四全日制在读本科生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自费不限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1学期（大四下）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学费约7000美金/学期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（3）现就读年级为大四。（这里网站和表格不太一致，表格是现就读年级为大三，网站上是大四学生）</w:t>
            </w:r>
            <w:r>
              <w:fldChar w:fldCharType="begin"/>
            </w:r>
            <w:r>
              <w:instrText xml:space="preserve"> HYPERLINK "https://icd.ncepu.edu.cn/tzgg/a59d6cfc2d5e4340b88c1b900571c292.htm" </w:instrText>
            </w:r>
            <w:r>
              <w:fldChar w:fldCharType="separate"/>
            </w:r>
            <w:r>
              <w:rPr>
                <w:rStyle w:val="36"/>
                <w:rFonts w:hint="eastAsia" w:ascii="仿宋" w:hAnsi="仿宋" w:eastAsia="仿宋" w:cs="宋体"/>
                <w:color w:val="000000" w:themeColor="text1"/>
                <w14:textFill>
                  <w14:solidFill>
                    <w14:schemeClr w14:val="tx1"/>
                  </w14:solidFill>
                </w14:textFill>
              </w:rPr>
              <w:t>https://icd.ncepu.edu.cn/tzgg/a59d6cfc2d5e4340b88c1b900571c292.htm</w:t>
            </w:r>
            <w:r>
              <w:rPr>
                <w:rStyle w:val="36"/>
                <w:rFonts w:hint="eastAsia" w:ascii="仿宋" w:hAnsi="仿宋" w:eastAsia="仿宋" w:cs="宋体"/>
                <w:color w:val="000000" w:themeColor="text1"/>
                <w14:textFill>
                  <w14:solidFill>
                    <w14:schemeClr w14:val="tx1"/>
                  </w14:solidFill>
                </w14:textFill>
              </w:rPr>
              <w:fldChar w:fldCharType="end"/>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（4）提供雅思或托福成绩或通过对方的语言面试。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p>
          <w:p>
            <w:pPr>
              <w:pStyle w:val="27"/>
              <w:widowControl/>
              <w:jc w:val="left"/>
              <w:rPr>
                <w:rFonts w:ascii="仿宋" w:hAnsi="仿宋" w:eastAsia="仿宋" w:cs="宋体"/>
                <w:color w:val="000000" w:themeColor="text1"/>
                <w14:textFill>
                  <w14:solidFill>
                    <w14:schemeClr w14:val="tx1"/>
                  </w14:solidFill>
                </w14:textFill>
              </w:rPr>
            </w:pP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 一封中文院系推荐信（内容包括综合测评排名、专业总人数、平时表现、社会活动等/需院系老师签字）；</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 一封中文成绩单(需教务处或院系盖章)；</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（3）外语成绩单（雅思或托福，若无请标注须通过外方面试）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交流院系介绍</w:t>
            </w:r>
          </w:p>
        </w:tc>
        <w:tc>
          <w:tcPr>
            <w:tcW w:w="6515" w:type="dxa"/>
            <w:vAlign w:val="center"/>
          </w:tcPr>
          <w:p>
            <w:pPr>
              <w:tabs>
                <w:tab w:val="left" w:pos="2428"/>
              </w:tabs>
              <w:ind w:firstLine="480" w:firstLineChars="200"/>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美国威斯康星大学密尔沃基分校(University of Wisconsin-Milwaukee, UWM, UW-Milwaukee) 是美国威斯康星大学体系中两所可授予博士学位的综合研究型大学之一、美国八十所具有研究生院的研究型大学之一。</w:t>
            </w:r>
          </w:p>
          <w:p>
            <w:pPr>
              <w:tabs>
                <w:tab w:val="left" w:pos="2428"/>
              </w:tabs>
              <w:ind w:firstLine="480" w:firstLineChars="200"/>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威斯康星大学密尔沃基分校在美国公立大学在国家研究理事会(NRC)排名中排名72，是美国大学先锋排行榜的100所大学之一，在普林斯顿评论中被评为最好中西部大学之一，在美国大学表现评估中心大学排名中排189位， 在华盛顿月刊排行榜中列247位。在2011法国国立巴黎高等矿业学校(EMP)基于《财富》杂志发布的各校毕业生在世界500强企业中担任首席执行官或与之相当职位的人数指标进行的世界大学排名中，该校名列第98位。</w:t>
            </w:r>
          </w:p>
          <w:p>
            <w:pPr>
              <w:tabs>
                <w:tab w:val="left" w:pos="2428"/>
              </w:tabs>
              <w:ind w:firstLine="480" w:firstLineChars="200"/>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该校的工程和应用科学学院在美国新闻与世界报道排名129，其中计算机专业排名110。该学院在美国公立大学在国家研究理事会(NRC)排名中排名73，其中工业工程学排第34， 材料科学排第60，土木工程排第69，机械工程排第87，电子工程排第96。 管理信息系统被通信信息系统协会评为全美第19，全世界第24。组织和战略管理被德克萨斯A&amp;M大学和佛罗里达大学的联合研究排名为全世界第32。2006-2008，卢巴商学院的被评为世界前100名。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报名咨询方式</w:t>
            </w:r>
          </w:p>
        </w:tc>
        <w:tc>
          <w:tcPr>
            <w:tcW w:w="6515" w:type="dxa"/>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tbl>
    <w:p>
      <w:pPr>
        <w:jc w:val="center"/>
        <w:rPr>
          <w:rFonts w:ascii="仿宋" w:hAnsi="仿宋" w:eastAsia="仿宋" w:cs="宋体"/>
          <w:b/>
          <w:bCs/>
          <w:color w:val="000000" w:themeColor="text1"/>
          <w:sz w:val="24"/>
          <w14:textFill>
            <w14:solidFill>
              <w14:schemeClr w14:val="tx1"/>
            </w14:solidFill>
          </w14:textFill>
        </w:rPr>
      </w:pPr>
    </w:p>
    <w:p>
      <w:pPr>
        <w:pStyle w:val="4"/>
        <w:jc w:val="center"/>
        <w:rPr>
          <w:rFonts w:ascii="仿宋" w:hAnsi="仿宋" w:eastAsia="仿宋"/>
          <w:sz w:val="36"/>
          <w:szCs w:val="36"/>
        </w:rPr>
      </w:pPr>
      <w:bookmarkStart w:id="16" w:name="_Toc18401"/>
      <w:r>
        <w:rPr>
          <w:rFonts w:hint="eastAsia" w:ascii="仿宋" w:hAnsi="仿宋" w:eastAsia="仿宋"/>
          <w:sz w:val="36"/>
          <w:szCs w:val="36"/>
        </w:rPr>
        <w:t>美国伊利诺伊斯理工大学</w:t>
      </w:r>
      <w:bookmarkEnd w:id="16"/>
    </w:p>
    <w:tbl>
      <w:tblPr>
        <w:tblStyle w:val="30"/>
        <w:tblW w:w="8495" w:type="dxa"/>
        <w:tblInd w:w="0" w:type="dxa"/>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Layout w:type="fixed"/>
        <w:tblCellMar>
          <w:top w:w="0" w:type="dxa"/>
          <w:left w:w="108" w:type="dxa"/>
          <w:bottom w:w="0" w:type="dxa"/>
          <w:right w:w="108" w:type="dxa"/>
        </w:tblCellMar>
      </w:tblPr>
      <w:tblGrid>
        <w:gridCol w:w="1991"/>
        <w:gridCol w:w="6504"/>
      </w:tblGrid>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项目内容</w:t>
            </w:r>
          </w:p>
        </w:tc>
        <w:tc>
          <w:tcPr>
            <w:tcW w:w="6504" w:type="dxa"/>
            <w:shd w:val="clear" w:color="auto" w:fill="auto"/>
            <w:vAlign w:val="center"/>
          </w:tcPr>
          <w:p>
            <w:pPr>
              <w:rPr>
                <w:rFonts w:ascii="仿宋" w:hAnsi="仿宋" w:eastAsia="仿宋" w:cs="宋体"/>
                <w:color w:val="000000" w:themeColor="text1"/>
                <w:spacing w:val="8"/>
                <w:sz w:val="24"/>
                <w:shd w:val="clear" w:color="auto" w:fill="FFFFFF"/>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选拔优秀本科生赴美国伊利诺伊理工大学进行学习。学习为期一年，在伊利诺伊理工大学学习期间，学生须修一门英语课程，7门（或以上）专业课程。</w:t>
            </w:r>
            <w:r>
              <w:rPr>
                <w:rFonts w:ascii="Calibri" w:hAnsi="Calibri" w:eastAsia="仿宋" w:cs="Calibri"/>
                <w:color w:val="000000" w:themeColor="text1"/>
                <w:sz w:val="24"/>
                <w14:textFill>
                  <w14:solidFill>
                    <w14:schemeClr w14:val="tx1"/>
                  </w14:solidFill>
                </w14:textFill>
              </w:rPr>
              <w:t> </w:t>
            </w:r>
            <w:r>
              <w:rPr>
                <w:rFonts w:hint="eastAsia" w:ascii="仿宋" w:hAnsi="仿宋" w:eastAsia="仿宋" w:cs="宋体"/>
                <w:color w:val="000000" w:themeColor="text1"/>
                <w:sz w:val="24"/>
                <w14:textFill>
                  <w14:solidFill>
                    <w14:schemeClr w14:val="tx1"/>
                  </w14:solidFill>
                </w14:textFill>
              </w:rPr>
              <w:t>项目结束之后，华北电力大学承认在美国学习期间学分，学生获得华北电力大学毕业证、学位证。</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选派专业</w:t>
            </w:r>
          </w:p>
        </w:tc>
        <w:tc>
          <w:tcPr>
            <w:tcW w:w="6504" w:type="dxa"/>
            <w:shd w:val="clear" w:color="auto" w:fill="auto"/>
            <w:vAlign w:val="center"/>
          </w:tcPr>
          <w:p>
            <w:pPr>
              <w:pStyle w:val="27"/>
              <w:widowControl/>
              <w:jc w:val="left"/>
              <w:rPr>
                <w:rFonts w:ascii="仿宋" w:hAnsi="仿宋" w:eastAsia="仿宋" w:cs="宋体"/>
                <w:color w:val="000000" w:themeColor="text1"/>
                <w:spacing w:val="8"/>
                <w:shd w:val="clear" w:color="auto" w:fill="FFFFFF"/>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电气工程、土木工程、计算机及软件工程、电子信息工程、环境工程、机械制造、自动化、金融、会计、国际贸易</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选派类别</w:t>
            </w:r>
          </w:p>
        </w:tc>
        <w:tc>
          <w:tcPr>
            <w:tcW w:w="6504" w:type="dxa"/>
            <w:shd w:val="clear" w:color="auto" w:fill="auto"/>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pacing w:val="8"/>
                <w:sz w:val="24"/>
                <w:shd w:val="clear" w:color="auto" w:fill="FFFFFF"/>
                <w14:textFill>
                  <w14:solidFill>
                    <w14:schemeClr w14:val="tx1"/>
                  </w14:solidFill>
                </w14:textFill>
              </w:rPr>
              <w:t>申请时为大二或大三全日制在读本科生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选派人数</w:t>
            </w:r>
          </w:p>
        </w:tc>
        <w:tc>
          <w:tcPr>
            <w:tcW w:w="6504" w:type="dxa"/>
            <w:shd w:val="clear" w:color="auto" w:fill="auto"/>
            <w:vAlign w:val="center"/>
          </w:tcPr>
          <w:p>
            <w:pPr>
              <w:rPr>
                <w:rFonts w:ascii="仿宋" w:hAnsi="仿宋" w:eastAsia="仿宋" w:cs="宋体"/>
                <w:color w:val="000000" w:themeColor="text1"/>
                <w:spacing w:val="8"/>
                <w:sz w:val="24"/>
                <w:shd w:val="clear" w:color="auto" w:fill="FFFFFF"/>
                <w14:textFill>
                  <w14:solidFill>
                    <w14:schemeClr w14:val="tx1"/>
                  </w14:solidFill>
                </w14:textFill>
              </w:rPr>
            </w:pPr>
            <w:r>
              <w:rPr>
                <w:rFonts w:hint="eastAsia" w:ascii="仿宋" w:hAnsi="仿宋" w:eastAsia="仿宋" w:cs="宋体"/>
                <w:color w:val="000000" w:themeColor="text1"/>
                <w:spacing w:val="8"/>
                <w:sz w:val="24"/>
                <w:shd w:val="clear" w:color="auto" w:fill="FFFFFF"/>
                <w14:textFill>
                  <w14:solidFill>
                    <w14:schemeClr w14:val="tx1"/>
                  </w14:solidFill>
                </w14:textFill>
              </w:rPr>
              <w:t>不限</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交流期限</w:t>
            </w:r>
          </w:p>
        </w:tc>
        <w:tc>
          <w:tcPr>
            <w:tcW w:w="6504" w:type="dxa"/>
            <w:shd w:val="clear" w:color="auto" w:fill="auto"/>
            <w:vAlign w:val="center"/>
          </w:tcPr>
          <w:p>
            <w:pPr>
              <w:widowControl/>
              <w:textAlignment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bidi="ar"/>
                <w14:textFill>
                  <w14:solidFill>
                    <w14:schemeClr w14:val="tx1"/>
                  </w14:solidFill>
                </w14:textFill>
              </w:rPr>
              <w:t>1学期或1学年</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所需费用</w:t>
            </w:r>
          </w:p>
        </w:tc>
        <w:tc>
          <w:tcPr>
            <w:tcW w:w="6504" w:type="dxa"/>
            <w:shd w:val="clear" w:color="auto" w:fill="auto"/>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学费约47000美金/学年，23500美金/学期（具体学费每年会有所变动，依据IIT官网标准）</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资助</w:t>
            </w:r>
          </w:p>
        </w:tc>
        <w:tc>
          <w:tcPr>
            <w:tcW w:w="6504" w:type="dxa"/>
            <w:shd w:val="clear" w:color="auto" w:fill="auto"/>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伊利诺伊斯理工大学为我校交换生提供10000美金/学年-25000美金/学年奖学金，奖学金数额取决于面试成绩。</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优秀学生可申请华北电力大学本科生交流交换奖学金。</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申请条件</w:t>
            </w:r>
          </w:p>
        </w:tc>
        <w:tc>
          <w:tcPr>
            <w:tcW w:w="6504" w:type="dxa"/>
            <w:shd w:val="clear" w:color="auto" w:fill="auto"/>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 外语要求：托福80分或者雅思6.0 （若无相关语言成绩则需现场笔试面试）</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 平均分须达到80分及以上，无专业限制，有相关专业课程即可申请</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校内申请材料材料</w:t>
            </w:r>
          </w:p>
        </w:tc>
        <w:tc>
          <w:tcPr>
            <w:tcW w:w="6504" w:type="dxa"/>
            <w:shd w:val="clear" w:color="auto" w:fill="auto"/>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1.个人在校中文及英文成绩单</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2.个人相关外语成绩证明</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3.个人护照的复印件</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4.个人交换后的学习计划</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申请材料纸质版交至主楼D835，电子版发送至lqq@ncepu.edu.cn</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交流院校介绍</w:t>
            </w:r>
          </w:p>
        </w:tc>
        <w:tc>
          <w:tcPr>
            <w:tcW w:w="6504" w:type="dxa"/>
            <w:shd w:val="clear" w:color="auto" w:fill="auto"/>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pacing w:val="8"/>
                <w:sz w:val="24"/>
                <w:shd w:val="clear" w:color="auto" w:fill="FFFFFF"/>
                <w14:textFill>
                  <w14:solidFill>
                    <w14:schemeClr w14:val="tx1"/>
                  </w14:solidFill>
                </w14:textFill>
              </w:rPr>
              <w:t>美国伊利诺伊斯理工大学（Illinois Institute of Technology），简称IIT, 坐落于美国芝加哥市区，是一所世界知名的顶级综合私立性大学，在诸多研究和学术领域具有享誉世界级的声望。作为与芝加哥大学，西北大学并列的芝加哥高等学府的三大巨头之一，IIT致力于将来自全世界各地的精英培养成为适应科技高速发展的综合型领导人才，通过提供一流的教学质量和教学环境来引领知识的进步。伊利诺伊斯理工大学在2019年US News美国大学综合排名中位居96名，属国家一级大学（National Tier 1）。IIT的校友及教学团队中曾先后涌现出4位诺贝尔奖获得者。</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1991" w:type="dxa"/>
            <w:shd w:val="clear" w:color="auto" w:fill="auto"/>
            <w:vAlign w:val="center"/>
          </w:tcPr>
          <w:p>
            <w:pPr>
              <w:pStyle w:val="27"/>
              <w:widowControl/>
              <w:jc w:val="left"/>
              <w:rPr>
                <w:rFonts w:ascii="仿宋" w:hAnsi="仿宋" w:eastAsia="仿宋" w:cs="宋体"/>
                <w:b/>
              </w:rPr>
            </w:pPr>
            <w:r>
              <w:rPr>
                <w:rFonts w:hint="eastAsia" w:ascii="仿宋" w:hAnsi="仿宋" w:eastAsia="仿宋" w:cs="宋体"/>
                <w:b/>
                <w:color w:val="000000" w:themeColor="text1"/>
                <w14:textFill>
                  <w14:solidFill>
                    <w14:schemeClr w14:val="tx1"/>
                  </w14:solidFill>
                </w14:textFill>
              </w:rPr>
              <w:t>报名咨询方式</w:t>
            </w:r>
          </w:p>
        </w:tc>
        <w:tc>
          <w:tcPr>
            <w:tcW w:w="6504" w:type="dxa"/>
            <w:shd w:val="clear" w:color="auto" w:fill="auto"/>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tbl>
    <w:p>
      <w:pPr>
        <w:rPr>
          <w:rFonts w:ascii="仿宋" w:hAnsi="仿宋" w:eastAsia="仿宋" w:cs="宋体"/>
          <w:color w:val="000000" w:themeColor="text1"/>
          <w:sz w:val="24"/>
          <w:lang w:bidi="zh-CN"/>
          <w14:textFill>
            <w14:solidFill>
              <w14:schemeClr w14:val="tx1"/>
            </w14:solidFill>
          </w14:textFill>
        </w:rPr>
      </w:pPr>
    </w:p>
    <w:p>
      <w:pPr>
        <w:pStyle w:val="27"/>
        <w:widowControl/>
        <w:shd w:val="clear" w:color="auto" w:fill="FFFFFF"/>
        <w:jc w:val="left"/>
        <w:rPr>
          <w:rFonts w:ascii="仿宋" w:hAnsi="仿宋" w:eastAsia="仿宋" w:cs="宋体"/>
          <w:color w:val="000000" w:themeColor="text1"/>
          <w14:textFill>
            <w14:solidFill>
              <w14:schemeClr w14:val="tx1"/>
            </w14:solidFill>
          </w14:textFill>
        </w:rPr>
      </w:pPr>
    </w:p>
    <w:p>
      <w:pPr>
        <w:pStyle w:val="4"/>
        <w:jc w:val="center"/>
        <w:rPr>
          <w:rFonts w:ascii="仿宋" w:hAnsi="仿宋" w:eastAsia="仿宋"/>
          <w:sz w:val="36"/>
          <w:szCs w:val="36"/>
        </w:rPr>
      </w:pPr>
      <w:bookmarkStart w:id="17" w:name="_Toc1267"/>
      <w:r>
        <w:rPr>
          <w:rFonts w:hint="eastAsia" w:ascii="仿宋" w:hAnsi="仿宋" w:eastAsia="仿宋"/>
          <w:sz w:val="36"/>
          <w:szCs w:val="36"/>
        </w:rPr>
        <w:t>美国普渡大学西北校区</w:t>
      </w:r>
      <w:bookmarkEnd w:id="17"/>
    </w:p>
    <w:tbl>
      <w:tblPr>
        <w:tblStyle w:val="30"/>
        <w:tblW w:w="8495" w:type="dxa"/>
        <w:tblInd w:w="0" w:type="dxa"/>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Layout w:type="fixed"/>
        <w:tblCellMar>
          <w:top w:w="0" w:type="dxa"/>
          <w:left w:w="108" w:type="dxa"/>
          <w:bottom w:w="0" w:type="dxa"/>
          <w:right w:w="108" w:type="dxa"/>
        </w:tblCellMar>
      </w:tblPr>
      <w:tblGrid>
        <w:gridCol w:w="2004"/>
        <w:gridCol w:w="6491"/>
      </w:tblGrid>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项目内容</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我校自2009年起，同美国普渡大学西北校区开展本科交流生（ETIE）项目，符合条件的本科生可赴普渡大学进行为期一学期、或一年的交流学习。学习结束后满足一定条件的学生，可继续在普渡大学进行研究生阶段的学习（免GRE成绩）</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选派专业</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pacing w:val="8"/>
                <w:sz w:val="24"/>
                <w:shd w:val="clear" w:color="auto" w:fill="FFFFFF"/>
                <w14:textFill>
                  <w14:solidFill>
                    <w14:schemeClr w14:val="tx1"/>
                  </w14:solidFill>
                </w14:textFill>
              </w:rPr>
              <w:t>电子，电器，电讯，计算机，软件，机电， 机械，热工，热能，流体，材料，及土木工程。</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选派类别</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申请时为大三全日制在读本科生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选派人数</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由普渡大学审理决定</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交流期限</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1学期或1学年，</w:t>
            </w:r>
            <w:r>
              <w:rPr>
                <w:rFonts w:ascii="仿宋" w:hAnsi="仿宋" w:eastAsia="仿宋" w:cs="宋体"/>
                <w:color w:val="000000" w:themeColor="text1"/>
                <w:sz w:val="24"/>
                <w14:textFill>
                  <w14:solidFill>
                    <w14:schemeClr w14:val="tx1"/>
                  </w14:solidFill>
                </w14:textFill>
              </w:rPr>
              <w:t>成绩优异同学可继续在申请研究生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416"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申请条件</w:t>
            </w:r>
          </w:p>
        </w:tc>
        <w:tc>
          <w:tcPr>
            <w:tcW w:w="6491" w:type="dxa"/>
            <w:vAlign w:val="center"/>
          </w:tcPr>
          <w:p>
            <w:pPr>
              <w:shd w:val="clear" w:color="auto" w:fill="FFFFFF"/>
              <w:rPr>
                <w:rFonts w:ascii="仿宋" w:hAnsi="仿宋" w:eastAsia="仿宋" w:cs="宋体"/>
                <w:color w:val="000000" w:themeColor="text1"/>
                <w:spacing w:val="8"/>
                <w:sz w:val="24"/>
                <w14:textFill>
                  <w14:solidFill>
                    <w14:schemeClr w14:val="tx1"/>
                  </w14:solidFill>
                </w14:textFill>
              </w:rPr>
            </w:pPr>
            <w:r>
              <w:rPr>
                <w:rFonts w:hint="eastAsia" w:ascii="仿宋" w:hAnsi="仿宋" w:eastAsia="仿宋" w:cs="宋体"/>
                <w:color w:val="000000" w:themeColor="text1"/>
                <w:spacing w:val="8"/>
                <w:sz w:val="24"/>
                <w14:textFill>
                  <w14:solidFill>
                    <w14:schemeClr w14:val="tx1"/>
                  </w14:solidFill>
                </w14:textFill>
              </w:rPr>
              <w:t>1.参加访学计划的学生必须是在校全日制三年级本科生，且学习成绩优良，GPA 2.5以上。GPA 2.5以上。英语四级高于500分，或通过英语六级，或托福高于70分，或雅思高于6分。</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pacing w:val="8"/>
                <w:sz w:val="24"/>
                <w14:textFill>
                  <w14:solidFill>
                    <w14:schemeClr w14:val="tx1"/>
                  </w14:solidFill>
                </w14:textFill>
              </w:rPr>
              <w:t>2.符合上述条件学生的基本资料（成绩单及相关材料）将被送达普渡大学，由普渡大学最终确定访学学生名单。</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所需费用</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学生在美学习期间的学习及生活费用全部由学生本人承担。在美学习期间两学期所需费用约为20000-30000美元，主要包括：</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 学费：12-18学分大约8000美元/学期 （每学期最低要求为 12学分）；</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 住宿费、餐费、日常消费等 8000-12000美元。</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上述费用不包括往返机票、申领护照及办理签证等费用。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网址：www.pnw.edu/etie</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报名材料</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 成绩单</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 语言成绩证明</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 院系推荐信</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04"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报名咨询方式</w:t>
            </w:r>
          </w:p>
        </w:tc>
        <w:tc>
          <w:tcPr>
            <w:tcW w:w="6491"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tbl>
    <w:p>
      <w:pPr>
        <w:pStyle w:val="27"/>
        <w:widowControl/>
        <w:shd w:val="clear" w:color="auto" w:fill="FFFFFF"/>
        <w:ind w:firstLine="420"/>
        <w:jc w:val="center"/>
        <w:rPr>
          <w:rFonts w:ascii="仿宋" w:hAnsi="仿宋" w:eastAsia="仿宋" w:cs="宋体"/>
          <w:b/>
          <w:bCs/>
          <w:color w:val="000000" w:themeColor="text1"/>
          <w:shd w:val="clear" w:color="auto" w:fill="FFFFFF"/>
          <w14:textFill>
            <w14:solidFill>
              <w14:schemeClr w14:val="tx1"/>
            </w14:solidFill>
          </w14:textFill>
        </w:rPr>
      </w:pPr>
    </w:p>
    <w:p>
      <w:pPr>
        <w:pStyle w:val="27"/>
        <w:widowControl/>
        <w:shd w:val="clear" w:color="auto" w:fill="FFFFFF"/>
        <w:ind w:firstLine="420"/>
        <w:jc w:val="center"/>
        <w:rPr>
          <w:rFonts w:ascii="仿宋" w:hAnsi="仿宋" w:eastAsia="仿宋" w:cs="宋体"/>
          <w:b/>
          <w:bCs/>
          <w:color w:val="000000" w:themeColor="text1"/>
          <w:shd w:val="clear" w:color="auto" w:fill="FFFFFF"/>
          <w14:textFill>
            <w14:solidFill>
              <w14:schemeClr w14:val="tx1"/>
            </w14:solidFill>
          </w14:textFill>
        </w:rPr>
      </w:pPr>
    </w:p>
    <w:p>
      <w:pPr>
        <w:pStyle w:val="27"/>
        <w:widowControl/>
        <w:shd w:val="clear" w:color="auto" w:fill="FFFFFF"/>
        <w:ind w:firstLine="420"/>
        <w:jc w:val="center"/>
        <w:rPr>
          <w:rFonts w:ascii="仿宋" w:hAnsi="仿宋" w:eastAsia="仿宋" w:cs="宋体"/>
          <w:b/>
          <w:bCs/>
          <w:color w:val="000000" w:themeColor="text1"/>
          <w:shd w:val="clear" w:color="auto" w:fill="FFFFFF"/>
          <w14:textFill>
            <w14:solidFill>
              <w14:schemeClr w14:val="tx1"/>
            </w14:solidFill>
          </w14:textFill>
        </w:rPr>
      </w:pPr>
    </w:p>
    <w:p>
      <w:pPr>
        <w:pStyle w:val="4"/>
        <w:jc w:val="center"/>
        <w:rPr>
          <w:rFonts w:ascii="仿宋" w:hAnsi="仿宋" w:eastAsia="仿宋"/>
          <w:sz w:val="36"/>
          <w:szCs w:val="36"/>
        </w:rPr>
      </w:pPr>
      <w:bookmarkStart w:id="18" w:name="_Toc29008"/>
      <w:r>
        <w:rPr>
          <w:rFonts w:hint="eastAsia" w:ascii="仿宋" w:hAnsi="仿宋" w:eastAsia="仿宋"/>
          <w:sz w:val="36"/>
          <w:szCs w:val="36"/>
        </w:rPr>
        <w:t>美国北科罗拉多大学</w:t>
      </w:r>
      <w:bookmarkEnd w:id="18"/>
    </w:p>
    <w:tbl>
      <w:tblPr>
        <w:tblStyle w:val="30"/>
        <w:tblW w:w="8495" w:type="dxa"/>
        <w:tblInd w:w="0" w:type="dxa"/>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Layout w:type="fixed"/>
        <w:tblCellMar>
          <w:top w:w="0" w:type="dxa"/>
          <w:left w:w="108" w:type="dxa"/>
          <w:bottom w:w="0" w:type="dxa"/>
          <w:right w:w="108" w:type="dxa"/>
        </w:tblCellMar>
      </w:tblPr>
      <w:tblGrid>
        <w:gridCol w:w="2015"/>
        <w:gridCol w:w="6480"/>
      </w:tblGrid>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项目内容</w:t>
            </w:r>
          </w:p>
        </w:tc>
        <w:tc>
          <w:tcPr>
            <w:tcW w:w="6480"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选拔优秀本科生赴美国本科罗拉多大学进行学习。学习结束后，学生可将相关学分转换回我校</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选派专业</w:t>
            </w:r>
          </w:p>
        </w:tc>
        <w:tc>
          <w:tcPr>
            <w:tcW w:w="6480"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不限（须国外院校有符合的相关课程）</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选派类别</w:t>
            </w:r>
          </w:p>
        </w:tc>
        <w:tc>
          <w:tcPr>
            <w:tcW w:w="6480"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申请时为大二或大三全日制在读本科生</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选派人数</w:t>
            </w:r>
          </w:p>
        </w:tc>
        <w:tc>
          <w:tcPr>
            <w:tcW w:w="6480"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10</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学习期限</w:t>
            </w:r>
          </w:p>
        </w:tc>
        <w:tc>
          <w:tcPr>
            <w:tcW w:w="6480"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1学期或1学年</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所需费用</w:t>
            </w:r>
          </w:p>
        </w:tc>
        <w:tc>
          <w:tcPr>
            <w:tcW w:w="6480"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约$17,500/学期（含12个学分学费及杂费，医疗保险，校内住宿和伙食费）</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申请条件</w:t>
            </w:r>
          </w:p>
        </w:tc>
        <w:tc>
          <w:tcPr>
            <w:tcW w:w="6480" w:type="dxa"/>
            <w:vAlign w:val="center"/>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（3）品学兼优，学习成绩排名前列，综合表现突出，</w:t>
            </w:r>
            <w:r>
              <w:rPr>
                <w:rFonts w:hint="eastAsia" w:ascii="仿宋" w:hAnsi="仿宋" w:eastAsia="仿宋" w:cs="宋体"/>
                <w:color w:val="000000" w:themeColor="text1"/>
                <w:sz w:val="24"/>
                <w14:textFill>
                  <w14:solidFill>
                    <w14:schemeClr w14:val="tx1"/>
                  </w14:solidFill>
                </w14:textFill>
              </w:rPr>
              <w:t>平均分75分以上</w:t>
            </w:r>
            <w:r>
              <w:rPr>
                <w:rFonts w:hint="eastAsia" w:ascii="仿宋" w:hAnsi="仿宋" w:eastAsia="仿宋" w:cs="宋体"/>
                <w:color w:val="000000" w:themeColor="text1"/>
                <w:sz w:val="24"/>
                <w:shd w:val="clear" w:color="auto" w:fill="FFFFFF"/>
                <w14:textFill>
                  <w14:solidFill>
                    <w14:schemeClr w14:val="tx1"/>
                  </w14:solidFill>
                </w14:textFill>
              </w:rPr>
              <w:t>，GPA不低于2.5；</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（4）较强的英语沟通能力（商务和会计专业学生需提供语言成绩：雅思不低于6，托福不低于70</w:t>
            </w:r>
            <w:r>
              <w:rPr>
                <w:rFonts w:hint="eastAsia" w:ascii="仿宋" w:hAnsi="仿宋" w:eastAsia="仿宋" w:cs="宋体"/>
                <w:color w:val="000000" w:themeColor="text1"/>
                <w:sz w:val="24"/>
                <w14:textFill>
                  <w14:solidFill>
                    <w14:schemeClr w14:val="tx1"/>
                  </w14:solidFill>
                </w14:textFill>
              </w:rPr>
              <w:t>或PTE不低于53分（若没有满足语言求，需参加学校英语测试并修读强化英语课）</w:t>
            </w:r>
            <w:r>
              <w:rPr>
                <w:rFonts w:hint="eastAsia" w:ascii="仿宋" w:hAnsi="仿宋" w:eastAsia="仿宋" w:cs="宋体"/>
                <w:color w:val="000000" w:themeColor="text1"/>
                <w:sz w:val="24"/>
                <w:shd w:val="clear" w:color="auto" w:fill="FFFFFF"/>
                <w14:textFill>
                  <w14:solidFill>
                    <w14:schemeClr w14:val="tx1"/>
                  </w14:solidFill>
                </w14:textFill>
              </w:rPr>
              <w:t>。</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校内申请材料</w:t>
            </w:r>
          </w:p>
        </w:tc>
        <w:tc>
          <w:tcPr>
            <w:tcW w:w="6480"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交流院校介绍</w:t>
            </w:r>
          </w:p>
        </w:tc>
        <w:tc>
          <w:tcPr>
            <w:tcW w:w="6480" w:type="dxa"/>
            <w:vAlign w:val="center"/>
          </w:tcPr>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美国北科罗拉多大学（university of northern colorado,以下简称unc）成立于1889年，位于科罗拉多州格里利市，是一所被卡内基高等教育基金会认可的公立教学研究型综合大学, 被美国新闻与世界报道所评全美最佳性价比公立大学之一，拥有教育与行为科学院、文学院、运动与自然科学院、商学院、艺术学院, 具有博士、硕士、学士学位授予权。该校现有在校生12084人。该校商学院达到了世界级商学院最高成就的认证标准；本科课程是唯一荣获由美国总统办公室所颁发的the malcolmbaldrige national quality award商学院课。教育与行为科学学院自1954年即获得美国教师培育认证协会的认证。运动管理研究所课程获得国际级著名商业杂志“国际运动商业”评比为世界前五名的研究课程。立思辰留学360专家为您介绍，管弦乐交响乐团自1999年以来已被downbeat杂志学生音乐奖第十次提名为最佳大学古典合奏乐团。第一实验爵士乐团于过去9年共获得7次downbeat杂志学生音乐奖。在线硕士教育课程被us news和world report评比为全美第八名。</w:t>
            </w:r>
          </w:p>
        </w:tc>
      </w:tr>
      <w:tr>
        <w:tblPrEx>
          <w:tbl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insideH w:val="single" w:color="2E75B5" w:themeColor="accent1" w:themeShade="BF" w:sz="4" w:space="0"/>
            <w:insideV w:val="single" w:color="2E75B5" w:themeColor="accent1" w:themeShade="BF" w:sz="4" w:space="0"/>
          </w:tblBorders>
          <w:tblCellMar>
            <w:top w:w="0" w:type="dxa"/>
            <w:left w:w="108" w:type="dxa"/>
            <w:bottom w:w="0" w:type="dxa"/>
            <w:right w:w="108" w:type="dxa"/>
          </w:tblCellMar>
        </w:tblPrEx>
        <w:trPr>
          <w:trHeight w:val="720" w:hRule="atLeast"/>
        </w:trPr>
        <w:tc>
          <w:tcPr>
            <w:tcW w:w="2015" w:type="dxa"/>
            <w:tc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tcBorders>
            <w:vAlign w:val="center"/>
          </w:tcPr>
          <w:p>
            <w:pPr>
              <w:pStyle w:val="27"/>
              <w:widowControl/>
              <w:jc w:val="left"/>
              <w:rPr>
                <w:rFonts w:ascii="仿宋" w:hAnsi="仿宋" w:eastAsia="仿宋" w:cs="宋体"/>
              </w:rPr>
            </w:pPr>
            <w:r>
              <w:rPr>
                <w:rFonts w:hint="eastAsia" w:ascii="仿宋" w:hAnsi="仿宋" w:eastAsia="仿宋" w:cs="宋体"/>
                <w:b/>
                <w:color w:val="000000" w:themeColor="text1"/>
                <w14:textFill>
                  <w14:solidFill>
                    <w14:schemeClr w14:val="tx1"/>
                  </w14:solidFill>
                </w14:textFill>
              </w:rPr>
              <w:t>报名咨询方式</w:t>
            </w:r>
          </w:p>
        </w:tc>
        <w:tc>
          <w:tcPr>
            <w:tcW w:w="6480" w:type="dxa"/>
            <w:tcBorders>
              <w:top w:val="single" w:color="2E75B5" w:themeColor="accent1" w:themeShade="BF" w:sz="4" w:space="0"/>
              <w:left w:val="single" w:color="2E75B5" w:themeColor="accent1" w:themeShade="BF" w:sz="4" w:space="0"/>
              <w:bottom w:val="single" w:color="2E75B5" w:themeColor="accent1" w:themeShade="BF" w:sz="4" w:space="0"/>
              <w:right w:val="single" w:color="2E75B5" w:themeColor="accent1" w:themeShade="BF" w:sz="4" w:space="0"/>
            </w:tcBorders>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tbl>
    <w:p>
      <w:pPr>
        <w:rPr>
          <w:rFonts w:ascii="仿宋" w:hAnsi="仿宋" w:eastAsia="仿宋" w:cs="宋体"/>
          <w:color w:val="000000" w:themeColor="text1"/>
          <w:sz w:val="24"/>
          <w:lang w:val="zh-CN" w:bidi="zh-CN"/>
          <w14:textFill>
            <w14:solidFill>
              <w14:schemeClr w14:val="tx1"/>
            </w14:solidFill>
          </w14:textFill>
        </w:rPr>
      </w:pPr>
    </w:p>
    <w:p>
      <w:pPr>
        <w:pStyle w:val="4"/>
        <w:jc w:val="center"/>
        <w:rPr>
          <w:rFonts w:ascii="仿宋" w:hAnsi="仿宋" w:eastAsia="仿宋"/>
          <w:sz w:val="36"/>
          <w:szCs w:val="36"/>
        </w:rPr>
      </w:pPr>
      <w:bookmarkStart w:id="19" w:name="_Toc20524"/>
      <w:r>
        <w:rPr>
          <w:rFonts w:hint="eastAsia" w:ascii="仿宋" w:hAnsi="仿宋" w:eastAsia="仿宋"/>
          <w:sz w:val="36"/>
          <w:szCs w:val="36"/>
        </w:rPr>
        <w:t>美国纽黑文大学</w:t>
      </w:r>
      <w:bookmarkEnd w:id="19"/>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项目内容</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每学期选派10名优秀本科生进行交流学习。学习结束后，学生可将相关学分转换回我校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电气工程、环境工程、环境科学以及刑事司法等专业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一学期至一学年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学费约16020美元/学年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资助</w:t>
            </w:r>
          </w:p>
        </w:tc>
        <w:tc>
          <w:tcPr>
            <w:tcW w:w="651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排名前50%的学生将获得奖学金金额为20%-30%的学费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vAlign w:val="center"/>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（3）平均成绩高于75分；</w:t>
            </w:r>
          </w:p>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（4）英语六级高于480分或托福高于70分或雅思高于6.0分。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校内申请材料</w:t>
            </w:r>
          </w:p>
        </w:tc>
        <w:tc>
          <w:tcPr>
            <w:tcW w:w="6515" w:type="dxa"/>
            <w:vAlign w:val="center"/>
          </w:tcPr>
          <w:p>
            <w:pPr>
              <w:pStyle w:val="27"/>
              <w:widowControl/>
              <w:shd w:val="clear" w:color="auto" w:fill="FFFFFF"/>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vAlign w:val="center"/>
          </w:tcPr>
          <w:p>
            <w:pPr>
              <w:pStyle w:val="27"/>
              <w:widowControl/>
              <w:shd w:val="clear" w:color="auto" w:fill="FFFFFF"/>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美国纽黑文大学成立于1920年，目前有100多个大学部及研究所，课程涉及领域广泛。该校的研究所科系发展迅速，现有近2500名研究生，其中14%的研究生来自美国之外的国家。该校所有班级均为小班制，班级人数不超过25。纽黑文大学大约招收6400名学生，其中包括近1800名研究生和本科生4600余人，其中大部分学生居住在纽黑文大学的宿舍里。学生通过在纽黑文大学里艺术与科学学院、商学院、亨利李刑事司法学院和法医学、工程学院、Tagliatela学院的在校学习以及网络学习将获得由纽黑文大学提供的75个本科和研究生学位。纽黑文大学的学生通过激烈的竞争将有机会获得全球超过50个留学方案，体育生在美国大学体育总会举行的大学运动会中获胜者将参加级联赛。纽黑文大学校园位于纽约东北75公里，波士顿西南135公里。该校设有125个专业，30个硕士学位，有商管学院、科学学院、电机及应用科技学院、艺术学院，还有人文类、法律类及设计类等学术分类；授予人类营养学硕士、MBA、劳工关系硕士、工业工程硕士等，包含了各种不同的专业领域及工作和实习的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tbl>
    <w:p>
      <w:pPr>
        <w:rPr>
          <w:rFonts w:ascii="仿宋" w:hAnsi="仿宋" w:eastAsia="仿宋" w:cs="宋体"/>
          <w:color w:val="000000" w:themeColor="text1"/>
          <w:sz w:val="24"/>
          <w14:textFill>
            <w14:solidFill>
              <w14:schemeClr w14:val="tx1"/>
            </w14:solidFill>
          </w14:textFill>
        </w:rPr>
      </w:pPr>
    </w:p>
    <w:p>
      <w:pPr>
        <w:pStyle w:val="4"/>
        <w:jc w:val="center"/>
        <w:rPr>
          <w:rFonts w:ascii="仿宋" w:hAnsi="仿宋" w:eastAsia="仿宋"/>
          <w:sz w:val="36"/>
          <w:szCs w:val="36"/>
        </w:rPr>
      </w:pPr>
      <w:bookmarkStart w:id="20" w:name="_Toc23469"/>
      <w:r>
        <w:rPr>
          <w:rFonts w:hint="eastAsia" w:ascii="仿宋" w:hAnsi="仿宋" w:eastAsia="仿宋"/>
          <w:sz w:val="36"/>
          <w:szCs w:val="36"/>
        </w:rPr>
        <w:t>澳大利亚昆士兰大学</w:t>
      </w:r>
      <w:bookmarkEnd w:id="20"/>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年均学费约为＄30672（不同学院学费不同）</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请咨询昆士兰大学官网https://www.uq.edu.au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资助</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（4）雅思不低于6。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申请办法</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昆士兰大学是世界著名顶尖学府、著名高等科研学府之一。澳大利亚常春藤联盟“八大名校”之一，始建于1909年，是昆士兰州第一所综合型大学，也是澳大利亚最大、最有声望的大学之一，同时还是六所砂岩学府（Sandston Universities）之一，及UNIVERSITAS 21成员。2019年，昆士兰大学位居2020年QS世界大学排名第47位[2]，2020年USNews世界大学排名第42位[3]，2020年泰晤士高等教育世界大学排名第66位，2019年软科世界大学学术排名第54位。学校学部学院包括：商业，经济与法律学部工程，建筑与信息技术学部，健康与行为科学学部，人文与社会科学学部，医学部，理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tbl>
    <w:p>
      <w:pPr>
        <w:pStyle w:val="27"/>
        <w:widowControl/>
        <w:shd w:val="clear" w:color="auto" w:fill="FFFFFF"/>
        <w:ind w:firstLine="420"/>
        <w:jc w:val="center"/>
        <w:rPr>
          <w:rFonts w:ascii="仿宋" w:hAnsi="仿宋" w:eastAsia="仿宋" w:cs="宋体"/>
          <w:b/>
          <w:bCs/>
          <w:color w:val="000000" w:themeColor="text1"/>
          <w:sz w:val="36"/>
          <w:szCs w:val="36"/>
          <w:shd w:val="clear" w:color="auto" w:fill="FFFFFF"/>
          <w14:textFill>
            <w14:solidFill>
              <w14:schemeClr w14:val="tx1"/>
            </w14:solidFill>
          </w14:textFill>
        </w:rPr>
      </w:pPr>
    </w:p>
    <w:p>
      <w:pPr>
        <w:pStyle w:val="4"/>
        <w:jc w:val="center"/>
        <w:rPr>
          <w:rFonts w:ascii="仿宋" w:hAnsi="仿宋" w:eastAsia="仿宋"/>
          <w:sz w:val="36"/>
          <w:szCs w:val="36"/>
        </w:rPr>
      </w:pPr>
      <w:bookmarkStart w:id="21" w:name="_Toc17696"/>
      <w:r>
        <w:rPr>
          <w:rFonts w:hint="eastAsia" w:ascii="仿宋" w:hAnsi="仿宋" w:eastAsia="仿宋"/>
          <w:sz w:val="36"/>
          <w:szCs w:val="36"/>
        </w:rPr>
        <w:t>澳大利亚新南威尔士大学</w:t>
      </w:r>
      <w:bookmarkEnd w:id="21"/>
    </w:p>
    <w:tbl>
      <w:tblPr>
        <w:tblStyle w:val="31"/>
        <w:tblW w:w="86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项目内容</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shd w:val="clear" w:color="auto" w:fill="FFFFFF"/>
                <w:lang w:bidi="ar"/>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选派专业</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选派类别</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选派人数</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交流期限</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所需费用</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例：大致为45，000（澳元） 其中学费9527（澳元）Engineering(Honours)/Master of Engineering (Electrical Engineering)专业</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详情请查询新南威尔士大学官网</w:t>
            </w:r>
            <w:r>
              <w:fldChar w:fldCharType="begin"/>
            </w:r>
            <w:r>
              <w:instrText xml:space="preserve"> HYPERLINK "https://www.unsw.edu.au/" </w:instrText>
            </w:r>
            <w:r>
              <w:fldChar w:fldCharType="separate"/>
            </w:r>
            <w:r>
              <w:rPr>
                <w:rFonts w:hint="eastAsia" w:ascii="仿宋" w:hAnsi="仿宋" w:eastAsia="仿宋" w:cs="宋体"/>
                <w:color w:val="000000" w:themeColor="text1"/>
                <w:kern w:val="0"/>
                <w:sz w:val="24"/>
                <w14:textFill>
                  <w14:solidFill>
                    <w14:schemeClr w14:val="tx1"/>
                  </w14:solidFill>
                </w14:textFill>
              </w:rPr>
              <w:t>https://www.unsw.edu.au/</w:t>
            </w:r>
            <w:r>
              <w:rPr>
                <w:rFonts w:hint="eastAsia" w:ascii="仿宋" w:hAnsi="仿宋" w:eastAsia="仿宋" w:cs="宋体"/>
                <w:color w:val="000000" w:themeColor="text1"/>
                <w:kern w:val="0"/>
                <w:sz w:val="24"/>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申请条件</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华北电力大学在读本科生、硕士生，身体健康，品学兼优，具有较强的独立生活能力；；</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成绩要求：GPA3.0以上；</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语言要求：三年内的雅思成绩6.5分及以上</w:t>
            </w:r>
            <w:r>
              <w:rPr>
                <w:rFonts w:ascii="仿宋" w:hAnsi="仿宋" w:eastAsia="仿宋" w:cs="宋体"/>
                <w:color w:val="000000" w:themeColor="text1"/>
                <w:kern w:val="0"/>
                <w:sz w:val="24"/>
                <w14:textFill>
                  <w14:solidFill>
                    <w14:schemeClr w14:val="tx1"/>
                  </w14:solidFill>
                </w14:textFill>
              </w:rPr>
              <w:t xml:space="preserve"> </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4.</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费用标准：UNSW官方学费，免申请费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申请办法</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校内申请材料</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院系推荐信（本科生需辅导员签字及院系盖章，研究生需导师签字及院系盖章）；</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成绩单(中文/需教务处盖章)；</w:t>
            </w:r>
          </w:p>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雅思成绩单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交流院系介绍</w:t>
            </w:r>
          </w:p>
        </w:tc>
        <w:tc>
          <w:tcPr>
            <w:tcW w:w="6515" w:type="dxa"/>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新南威尔士大学（The University of New South Wales），简称UNSW</w:t>
            </w:r>
            <w:r>
              <w:rPr>
                <w:rFonts w:ascii="Calibri" w:hAnsi="Calibri" w:eastAsia="仿宋" w:cs="Calibri"/>
                <w:color w:val="000000" w:themeColor="text1"/>
                <w:kern w:val="0"/>
                <w:sz w:val="24"/>
                <w14:textFill>
                  <w14:solidFill>
                    <w14:schemeClr w14:val="tx1"/>
                  </w14:solidFill>
                </w14:textFill>
              </w:rPr>
              <w:t>  </w:t>
            </w:r>
            <w:r>
              <w:rPr>
                <w:rFonts w:hint="eastAsia" w:ascii="仿宋" w:hAnsi="仿宋" w:eastAsia="仿宋" w:cs="宋体"/>
                <w:color w:val="000000" w:themeColor="text1"/>
                <w:kern w:val="0"/>
                <w:sz w:val="24"/>
                <w14:textFill>
                  <w14:solidFill>
                    <w14:schemeClr w14:val="tx1"/>
                  </w14:solidFill>
                </w14:textFill>
              </w:rPr>
              <w:t>，创立于1949年，共有三大校区，主校区位于</w:t>
            </w:r>
            <w:r>
              <w:fldChar w:fldCharType="begin"/>
            </w:r>
            <w:r>
              <w:instrText xml:space="preserve"> HYPERLINK "https://baike.baidu.com/item/%E6%96%B0%E5%8D%97%E5%A8%81%E5%B0%94%E5%A3%AB%E5%B7%9E/4532276"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新南威尔士州</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首府</w:t>
            </w:r>
            <w:r>
              <w:fldChar w:fldCharType="begin"/>
            </w:r>
            <w:r>
              <w:instrText xml:space="preserve"> HYPERLINK "https://baike.baidu.com/item/%E6%82%89%E5%B0%BC/31769"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悉尼</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，是</w:t>
            </w:r>
            <w:r>
              <w:fldChar w:fldCharType="begin"/>
            </w:r>
            <w:r>
              <w:instrText xml:space="preserve"> HYPERLINK "https://baike.baidu.com/item/%E6%BE%B3%E5%A4%A7%E5%88%A9%E4%BA%9A/146759"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澳大利亚</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的一所世界顶尖级研究学府，</w:t>
            </w:r>
            <w:r>
              <w:fldChar w:fldCharType="begin"/>
            </w:r>
            <w:r>
              <w:instrText xml:space="preserve"> HYPERLINK "https://baike.baidu.com/item/%E6%BE%B3%E5%A4%A7%E5%88%A9%E4%BA%9A%E5%85%AB%E6%A0%A1%E8%81%94%E7%9B%9F/5575684"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澳大利亚八校联盟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"https://baike.baidu.com/item/%E7%8E%AF%E5%A4%AA%E5%B9%B3%E6%B4%8B%E5%A4%A7%E5%AD%A6%E8%81%94%E7%9B%9F"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环太平洋大学联盟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"https://baike.baidu.com/item/%E5%9B%BD%E9%99%85%E7%A7%91%E6%8A%80%E5%A4%A7%E5%AD%A6%E8%81%94%E7%9B%9F/22393412"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国际科技大学联盟</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和</w:t>
            </w:r>
            <w:r>
              <w:fldChar w:fldCharType="begin"/>
            </w:r>
            <w:r>
              <w:instrText xml:space="preserve"> HYPERLINK "https://baike.baidu.com/item/Universitas%2021"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Universitas 21</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成员，是整个南半球首屈一指的学术殿堂和全球著名的高等学府。2016年，在中澳两国总理见证下，中国</w:t>
            </w:r>
            <w:r>
              <w:fldChar w:fldCharType="begin"/>
            </w:r>
            <w:r>
              <w:instrText xml:space="preserve"> HYPERLINK "https://baike.baidu.com/item/%E7%A7%91%E6%8A%80%E9%83%A8/9782755"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科技部</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与新南威尔士大学达成合作协议，两国将于2020年在校园内共建火炬创新园，推进两国在</w:t>
            </w:r>
            <w:r>
              <w:fldChar w:fldCharType="begin"/>
            </w:r>
            <w:r>
              <w:instrText xml:space="preserve"> HYPERLINK "https://baike.baidu.com/item/%E8%83%BD%E6%BA%90%E6%8A%80%E6%9C%AF/5908322"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能源技术</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w:t>
            </w:r>
            <w:r>
              <w:fldChar w:fldCharType="begin"/>
            </w:r>
            <w:r>
              <w:instrText xml:space="preserve"> HYPERLINK "https://baike.baidu.com/item/%E5%85%88%E8%BF%9B%E6%9D%90%E6%96%99/7030381" \t "_blank" </w:instrText>
            </w:r>
            <w:r>
              <w:fldChar w:fldCharType="separate"/>
            </w:r>
            <w:r>
              <w:rPr>
                <w:rFonts w:hint="eastAsia" w:ascii="仿宋" w:hAnsi="仿宋" w:eastAsia="仿宋" w:cs="宋体"/>
                <w:color w:val="000000" w:themeColor="text1"/>
                <w:kern w:val="0"/>
                <w:sz w:val="24"/>
                <w14:textFill>
                  <w14:solidFill>
                    <w14:schemeClr w14:val="tx1"/>
                  </w14:solidFill>
                </w14:textFill>
              </w:rPr>
              <w:t>先进材料</w:t>
            </w:r>
            <w:r>
              <w:rPr>
                <w:rFonts w:hint="eastAsia" w:ascii="仿宋" w:hAnsi="仿宋" w:eastAsia="仿宋" w:cs="宋体"/>
                <w:color w:val="000000" w:themeColor="text1"/>
                <w:kern w:val="0"/>
                <w:sz w:val="24"/>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等高科技领域合作。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61" w:type="dxa"/>
            <w:vAlign w:val="center"/>
          </w:tcPr>
          <w:p>
            <w:pPr>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tbl>
    <w:p>
      <w:pPr>
        <w:pStyle w:val="27"/>
        <w:widowControl/>
        <w:shd w:val="clear" w:color="auto" w:fill="FFFFFF"/>
        <w:ind w:firstLine="420"/>
        <w:jc w:val="center"/>
        <w:rPr>
          <w:rFonts w:ascii="仿宋" w:hAnsi="仿宋" w:eastAsia="仿宋" w:cs="宋体"/>
          <w:b/>
          <w:bCs/>
          <w:color w:val="000000" w:themeColor="text1"/>
          <w:shd w:val="clear" w:color="auto" w:fill="FFFFFF"/>
          <w14:textFill>
            <w14:solidFill>
              <w14:schemeClr w14:val="tx1"/>
            </w14:solidFill>
          </w14:textFill>
        </w:rPr>
      </w:pPr>
    </w:p>
    <w:p>
      <w:pPr>
        <w:pStyle w:val="27"/>
        <w:widowControl/>
        <w:shd w:val="clear" w:color="auto" w:fill="FFFFFF"/>
        <w:ind w:firstLine="420"/>
        <w:jc w:val="center"/>
        <w:rPr>
          <w:rFonts w:ascii="仿宋" w:hAnsi="仿宋" w:eastAsia="仿宋" w:cs="宋体"/>
          <w:b/>
          <w:bCs/>
          <w:color w:val="000000" w:themeColor="text1"/>
          <w:shd w:val="clear" w:color="auto" w:fill="FFFFFF"/>
          <w14:textFill>
            <w14:solidFill>
              <w14:schemeClr w14:val="tx1"/>
            </w14:solidFill>
          </w14:textFill>
        </w:rPr>
      </w:pPr>
    </w:p>
    <w:p>
      <w:pPr>
        <w:pStyle w:val="4"/>
        <w:jc w:val="center"/>
        <w:rPr>
          <w:rFonts w:ascii="仿宋" w:hAnsi="仿宋" w:eastAsia="仿宋"/>
          <w:sz w:val="36"/>
          <w:szCs w:val="36"/>
        </w:rPr>
      </w:pPr>
      <w:bookmarkStart w:id="22" w:name="_Toc6228"/>
      <w:r>
        <w:rPr>
          <w:rFonts w:hint="eastAsia" w:ascii="仿宋" w:hAnsi="仿宋" w:eastAsia="仿宋"/>
          <w:sz w:val="36"/>
          <w:szCs w:val="36"/>
        </w:rPr>
        <w:t>澳大利亚昆士兰科技大学</w:t>
      </w:r>
      <w:bookmarkEnd w:id="22"/>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学费根据院系不同费用大致为26400～31800澳币</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请咨询昆士兰科技大学官网https://www.qut.edu.au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（3）品学兼优，学习成绩排名前列，综合表现突出（GPA2.5以上）；</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（4）较强的英语沟通能力（雅思6分）。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widowControl/>
              <w:spacing w:after="225"/>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昆士兰科技大学于1908年建校，坐落于</w:t>
            </w:r>
            <w:r>
              <w:fldChar w:fldCharType="begin"/>
            </w:r>
            <w:r>
              <w:instrText xml:space="preserve"> HYPERLINK "file:////item/%25E6%25BE%25B3%25E5%25A4%25A7%25E5%2588%25A9%25E4%25BA%259A/146759" \t "_blank" </w:instrText>
            </w:r>
            <w:r>
              <w:fldChar w:fldCharType="separate"/>
            </w:r>
            <w:r>
              <w:rPr>
                <w:rStyle w:val="36"/>
                <w:rFonts w:hint="eastAsia" w:ascii="仿宋" w:hAnsi="仿宋" w:eastAsia="仿宋" w:cs="宋体"/>
                <w:color w:val="000000" w:themeColor="text1"/>
                <w:sz w:val="24"/>
                <w:u w:val="none"/>
                <w14:textFill>
                  <w14:solidFill>
                    <w14:schemeClr w14:val="tx1"/>
                  </w14:solidFill>
                </w14:textFill>
              </w:rPr>
              <w:t>澳大利亚</w:t>
            </w:r>
            <w:r>
              <w:rPr>
                <w:rStyle w:val="36"/>
                <w:rFonts w:hint="eastAsia" w:ascii="仿宋" w:hAnsi="仿宋" w:eastAsia="仿宋" w:cs="宋体"/>
                <w:color w:val="000000" w:themeColor="text1"/>
                <w:sz w:val="24"/>
                <w:u w:val="none"/>
                <w14:textFill>
                  <w14:solidFill>
                    <w14:schemeClr w14:val="tx1"/>
                  </w14:solidFill>
                </w14:textFill>
              </w:rPr>
              <w:fldChar w:fldCharType="end"/>
            </w:r>
            <w:r>
              <w:fldChar w:fldCharType="begin"/>
            </w:r>
            <w:r>
              <w:instrText xml:space="preserve"> HYPERLINK "file:////item/%25E6%2598%2586%25E5%25A3%25AB%25E5%2585%25B0%25E5%25B7%259E/957543" \t "_blank" </w:instrText>
            </w:r>
            <w:r>
              <w:fldChar w:fldCharType="separate"/>
            </w:r>
            <w:r>
              <w:rPr>
                <w:rStyle w:val="36"/>
                <w:rFonts w:hint="eastAsia" w:ascii="仿宋" w:hAnsi="仿宋" w:eastAsia="仿宋" w:cs="宋体"/>
                <w:color w:val="000000" w:themeColor="text1"/>
                <w:sz w:val="24"/>
                <w:u w:val="none"/>
                <w14:textFill>
                  <w14:solidFill>
                    <w14:schemeClr w14:val="tx1"/>
                  </w14:solidFill>
                </w14:textFill>
              </w:rPr>
              <w:t>昆士兰州</w:t>
            </w:r>
            <w:r>
              <w:rPr>
                <w:rStyle w:val="36"/>
                <w:rFonts w:hint="eastAsia" w:ascii="仿宋" w:hAnsi="仿宋" w:eastAsia="仿宋" w:cs="宋体"/>
                <w:color w:val="000000" w:themeColor="text1"/>
                <w:sz w:val="24"/>
                <w:u w:val="none"/>
                <w14:textFill>
                  <w14:solidFill>
                    <w14:schemeClr w14:val="tx1"/>
                  </w14:solidFill>
                </w14:textFill>
              </w:rPr>
              <w:fldChar w:fldCharType="end"/>
            </w:r>
            <w:r>
              <w:fldChar w:fldCharType="begin"/>
            </w:r>
            <w:r>
              <w:instrText xml:space="preserve"> HYPERLINK "file:////item/%25E5%25B8%2583%25E9%2587%258C%25E6%2596%25AF%25E7%258F%25AD" \t "_blank" </w:instrText>
            </w:r>
            <w:r>
              <w:fldChar w:fldCharType="separate"/>
            </w:r>
            <w:r>
              <w:rPr>
                <w:rStyle w:val="36"/>
                <w:rFonts w:hint="eastAsia" w:ascii="仿宋" w:hAnsi="仿宋" w:eastAsia="仿宋" w:cs="宋体"/>
                <w:color w:val="000000" w:themeColor="text1"/>
                <w:sz w:val="24"/>
                <w:u w:val="none"/>
                <w14:textFill>
                  <w14:solidFill>
                    <w14:schemeClr w14:val="tx1"/>
                  </w14:solidFill>
                </w14:textFill>
              </w:rPr>
              <w:t>布里斯班</w:t>
            </w:r>
            <w:r>
              <w:rPr>
                <w:rStyle w:val="36"/>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市区。历史悠久，声誉卓著。学校的教学注重结合实际应用，这种教育特点使学校和昆士兰的业界保持了密切的合作关系，学校的研究和教育方向以符合就业市场的需求为主，学生经常参与业界的实际方案研讨。昆士兰科技大学是一所研究性大学，在澳洲大学中排名前十，世界TOP 3%，现有本科生近35,000人，研究生5,000人，国际学生共6,000人，位列2020</w:t>
            </w:r>
            <w:r>
              <w:fldChar w:fldCharType="begin"/>
            </w:r>
            <w:r>
              <w:instrText xml:space="preserve"> HYPERLINK "file:////item/%25E6%25B3%25B0%25E6%2599%25A4%25E5%25A3%25AB%25E9%25AB%2598%25E7%25AD%2589%25E6%2595%2599%25E8%2582%25B2%25E4%25B8%2596%25E7%2595%258C%25E5%25A4%25A7%25E5%25AD%25A6%25E6%258E%2592%25E5%2590%258D/4081934" \t "_blank" </w:instrText>
            </w:r>
            <w:r>
              <w:fldChar w:fldCharType="separate"/>
            </w:r>
            <w:r>
              <w:rPr>
                <w:rStyle w:val="36"/>
                <w:rFonts w:hint="eastAsia" w:ascii="仿宋" w:hAnsi="仿宋" w:eastAsia="仿宋" w:cs="宋体"/>
                <w:color w:val="000000" w:themeColor="text1"/>
                <w:sz w:val="24"/>
                <w:u w:val="none"/>
                <w14:textFill>
                  <w14:solidFill>
                    <w14:schemeClr w14:val="tx1"/>
                  </w14:solidFill>
                </w14:textFill>
              </w:rPr>
              <w:t>泰晤士高等教育世界大学排名</w:t>
            </w:r>
            <w:r>
              <w:rPr>
                <w:rStyle w:val="36"/>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第179位，2020</w:t>
            </w:r>
            <w:r>
              <w:fldChar w:fldCharType="begin"/>
            </w:r>
            <w:r>
              <w:instrText xml:space="preserve"> HYPERLINK "file:////item/QS%25E4%25B8%2596%25E7%2595%258C%25E5%25A4%25A7%25E5%25AD%25A6%25E6%258E%2592%25E5%2590%258D/3292552" \t "_blank" </w:instrText>
            </w:r>
            <w:r>
              <w:fldChar w:fldCharType="separate"/>
            </w:r>
            <w:r>
              <w:rPr>
                <w:rStyle w:val="36"/>
                <w:rFonts w:hint="eastAsia" w:ascii="仿宋" w:hAnsi="仿宋" w:eastAsia="仿宋" w:cs="宋体"/>
                <w:color w:val="000000" w:themeColor="text1"/>
                <w:sz w:val="24"/>
                <w:u w:val="none"/>
                <w14:textFill>
                  <w14:solidFill>
                    <w14:schemeClr w14:val="tx1"/>
                  </w14:solidFill>
                </w14:textFill>
              </w:rPr>
              <w:t>QS世界大学排名</w:t>
            </w:r>
            <w:r>
              <w:rPr>
                <w:rStyle w:val="36"/>
                <w:rFonts w:hint="eastAsia" w:ascii="仿宋" w:hAnsi="仿宋" w:eastAsia="仿宋" w:cs="宋体"/>
                <w:color w:val="000000" w:themeColor="text1"/>
                <w:sz w:val="24"/>
                <w:u w:val="none"/>
                <w14:textFill>
                  <w14:solidFill>
                    <w14:schemeClr w14:val="tx1"/>
                  </w14:solidFill>
                </w14:textFill>
              </w:rPr>
              <w:fldChar w:fldCharType="end"/>
            </w:r>
            <w:r>
              <w:rPr>
                <w:rFonts w:hint="eastAsia" w:ascii="仿宋" w:hAnsi="仿宋" w:eastAsia="仿宋" w:cs="宋体"/>
                <w:color w:val="000000" w:themeColor="text1"/>
                <w:kern w:val="0"/>
                <w:sz w:val="24"/>
                <w14:textFill>
                  <w14:solidFill>
                    <w14:schemeClr w14:val="tx1"/>
                  </w14:solidFill>
                </w14:textFill>
              </w:rPr>
              <w:t>第224位</w:t>
            </w:r>
            <w:bookmarkStart w:id="23" w:name="ref_[2]_184747"/>
            <w:r>
              <w:rPr>
                <w:rFonts w:ascii="Calibri" w:hAnsi="Calibri" w:eastAsia="仿宋" w:cs="Calibri"/>
                <w:color w:val="000000" w:themeColor="text1"/>
                <w:kern w:val="0"/>
                <w:sz w:val="24"/>
                <w14:textFill>
                  <w14:solidFill>
                    <w14:schemeClr w14:val="tx1"/>
                  </w14:solidFill>
                </w14:textFill>
              </w:rPr>
              <w:t> </w:t>
            </w:r>
            <w:bookmarkEnd w:id="23"/>
            <w:r>
              <w:rPr>
                <w:rFonts w:hint="eastAsia" w:ascii="仿宋" w:hAnsi="仿宋" w:eastAsia="仿宋" w:cs="宋体"/>
                <w:color w:val="000000" w:themeColor="text1"/>
                <w:kern w:val="0"/>
                <w:sz w:val="24"/>
                <w14:textFill>
                  <w14:solidFill>
                    <w14:schemeClr w14:val="tx1"/>
                  </w14:solidFill>
                </w14:textFill>
              </w:rPr>
              <w:t>。杰出专业包括</w:t>
            </w:r>
            <w:r>
              <w:rPr>
                <w:rFonts w:hint="eastAsia" w:ascii="仿宋" w:hAnsi="仿宋" w:eastAsia="仿宋" w:cs="宋体"/>
                <w:color w:val="000000" w:themeColor="text1"/>
                <w:kern w:val="0"/>
                <w:sz w:val="24"/>
                <w:shd w:val="clear" w:color="auto" w:fill="FFFFFF"/>
                <w14:textFill>
                  <w14:solidFill>
                    <w14:schemeClr w14:val="tx1"/>
                  </w14:solidFill>
                </w14:textFill>
              </w:rPr>
              <w:t>会计、金融、管理、市场营销、大众传播、经济、人力资源管理、国际商业、公共关系管理、电子商务、软件、信息系统、软件工程、信息管理、传媒设计、数字多媒体、土木工程、工业设计、室内设计、项目管理、都市与区域计划、工程管理、景观建筑学、环境工程、通讯技术、医疗影像、生物学、心理学、健康服务管理、人类运动研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tbl>
    <w:p>
      <w:pPr>
        <w:pStyle w:val="27"/>
        <w:widowControl/>
        <w:shd w:val="clear" w:color="auto" w:fill="FFFFFF"/>
        <w:ind w:firstLine="420"/>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ab/>
      </w:r>
    </w:p>
    <w:p>
      <w:pPr>
        <w:pStyle w:val="4"/>
        <w:jc w:val="center"/>
        <w:rPr>
          <w:rFonts w:ascii="仿宋" w:hAnsi="仿宋" w:eastAsia="仿宋"/>
          <w:sz w:val="36"/>
          <w:szCs w:val="36"/>
        </w:rPr>
      </w:pPr>
      <w:bookmarkStart w:id="24" w:name="_Toc5568"/>
      <w:r>
        <w:rPr>
          <w:rFonts w:hint="eastAsia" w:ascii="仿宋" w:hAnsi="仿宋" w:eastAsia="仿宋"/>
          <w:sz w:val="36"/>
          <w:szCs w:val="36"/>
        </w:rPr>
        <w:t>新西兰惠灵顿维多利亚大学</w:t>
      </w:r>
      <w:bookmarkEnd w:id="24"/>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bookmarkStart w:id="25" w:name="OLE_LINK13"/>
            <w:r>
              <w:rPr>
                <w:rFonts w:hint="eastAsia" w:ascii="仿宋" w:hAnsi="仿宋" w:eastAsia="仿宋" w:cs="宋体"/>
                <w:color w:val="000000" w:themeColor="text1"/>
                <w:kern w:val="0"/>
                <w:shd w:val="clear" w:color="auto" w:fill="FFFFFF"/>
                <w:lang w:bidi="ar"/>
                <w14:textFill>
                  <w14:solidFill>
                    <w14:schemeClr w14:val="tx1"/>
                  </w14:solidFill>
                </w14:textFill>
              </w:rPr>
              <w:t>每学期选派优秀本科生进行交流学习。学习结束后，学生可将相关学分转换回我校</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约24000新元</w:t>
            </w:r>
          </w:p>
          <w:p>
            <w:pPr>
              <w:pStyle w:val="27"/>
              <w:widowControl/>
              <w:jc w:val="left"/>
              <w:rPr>
                <w:rFonts w:ascii="仿宋" w:hAnsi="仿宋" w:eastAsia="仿宋" w:cs="宋体"/>
                <w:color w:val="000000" w:themeColor="text1"/>
                <w:shd w:val="clear" w:color="auto" w:fill="FFFFFF"/>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具体请咨询新西兰惠灵顿维多利亚大学官网费用计算https://www.victoria.ac.nz/international/scholarships-fees/cost-calculator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申请条件</w:t>
            </w:r>
          </w:p>
        </w:tc>
        <w:tc>
          <w:tcPr>
            <w:tcW w:w="6515" w:type="dxa"/>
          </w:tcPr>
          <w:p>
            <w:pPr>
              <w:pStyle w:val="27"/>
              <w:widowControl/>
              <w:numPr>
                <w:ilvl w:val="0"/>
                <w:numId w:val="1"/>
              </w:numPr>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热爱祖国，具有良好的政治思想素质，在校期间无违法违纪记录；</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（2）身心健康，无不适合在外学习的疾病史；</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（3）品学兼优，学习成绩排名前列，综合表现突出。</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（4）雅思6分且单科不低于5.5分。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s="宋体"/>
                <w:color w:val="000000" w:themeColor="text1"/>
                <w14:textFill>
                  <w14:solidFill>
                    <w14:schemeClr w14:val="tx1"/>
                  </w14:solidFill>
                </w14:textFill>
              </w:rPr>
              <w:t xml:space="preserve"> ，择优录取</w:t>
            </w:r>
            <w:r>
              <w:rPr>
                <w:rFonts w:hint="eastAsia" w:ascii="仿宋" w:hAnsi="仿宋" w:eastAsia="仿宋" w:cs="宋体"/>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惠灵顿</w:t>
            </w:r>
            <w:r>
              <w:fldChar w:fldCharType="begin"/>
            </w:r>
            <w:r>
              <w:instrText xml:space="preserve"> HYPERLINK "https://baike.baidu.com/item/%E7%BB%B4%E5%A4%9A%E5%88%A9%E4%BA%9A%E5%A4%A7%E5%AD%A6" \t "https://baike.baidu.com/item/%E6%83%A0%E7%81%B5%E9%A1%BF%E7%BB%B4%E5%A4%9A%E5%88%A9%E4%BA%9A%E5%A4%A7%E5%AD%A6/_blank" </w:instrText>
            </w:r>
            <w:r>
              <w:fldChar w:fldCharType="separate"/>
            </w:r>
            <w:r>
              <w:rPr>
                <w:rFonts w:hint="eastAsia" w:ascii="仿宋" w:hAnsi="仿宋" w:eastAsia="仿宋" w:cs="宋体"/>
                <w:color w:val="000000" w:themeColor="text1"/>
                <w14:textFill>
                  <w14:solidFill>
                    <w14:schemeClr w14:val="tx1"/>
                  </w14:solidFill>
                </w14:textFill>
              </w:rPr>
              <w:t>维多利亚大学</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建校于1897年，位于首都</w:t>
            </w:r>
            <w:r>
              <w:fldChar w:fldCharType="begin"/>
            </w:r>
            <w:r>
              <w:instrText xml:space="preserve"> HYPERLINK "https://baike.baidu.com/item/%E6%83%A0%E7%81%B5%E9%A1%BF/3698" \t "https://baike.baidu.com/item/%E6%83%A0%E7%81%B5%E9%A1%BF%E7%BB%B4%E5%A4%9A%E5%88%A9%E4%BA%9A%E5%A4%A7%E5%AD%A6/_blank" </w:instrText>
            </w:r>
            <w:r>
              <w:fldChar w:fldCharType="separate"/>
            </w:r>
            <w:r>
              <w:rPr>
                <w:rFonts w:hint="eastAsia" w:ascii="仿宋" w:hAnsi="仿宋" w:eastAsia="仿宋" w:cs="宋体"/>
                <w:color w:val="000000" w:themeColor="text1"/>
                <w14:textFill>
                  <w14:solidFill>
                    <w14:schemeClr w14:val="tx1"/>
                  </w14:solidFill>
                </w14:textFill>
              </w:rPr>
              <w:t>惠灵顿</w:t>
            </w:r>
            <w:r>
              <w:rPr>
                <w:rFonts w:hint="eastAsia" w:ascii="仿宋" w:hAnsi="仿宋" w:eastAsia="仿宋" w:cs="宋体"/>
                <w:color w:val="000000" w:themeColor="text1"/>
                <w14:textFill>
                  <w14:solidFill>
                    <w14:schemeClr w14:val="tx1"/>
                  </w14:solidFill>
                </w14:textFill>
              </w:rPr>
              <w:fldChar w:fldCharType="end"/>
            </w:r>
            <w:r>
              <w:rPr>
                <w:rFonts w:hint="eastAsia" w:ascii="仿宋" w:hAnsi="仿宋" w:eastAsia="仿宋" w:cs="宋体"/>
                <w:color w:val="000000" w:themeColor="text1"/>
                <w14:textFill>
                  <w14:solidFill>
                    <w14:schemeClr w14:val="tx1"/>
                  </w14:solidFill>
                </w14:textFill>
              </w:rPr>
              <w:t xml:space="preserve">，是一所大型公立综合性全国大学，新西兰八大五星级大学之一，为AACSB和EQUIS认证成员。在2020年QS世界大学排名中，惠灵顿维多利亚大学位列世界第215位，排名新西兰第三位，仅次于奥克兰大学和奥塔哥大学。惠灵顿维多利亚大学由六个学院组成，建筑与设计学院、工商管理学院、教育学院、工程学院、人文与社会科学院、法学院和自然科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tbl>
    <w:p>
      <w:pPr>
        <w:tabs>
          <w:tab w:val="left" w:pos="2428"/>
        </w:tabs>
        <w:jc w:val="left"/>
        <w:rPr>
          <w:rFonts w:ascii="仿宋" w:hAnsi="仿宋" w:eastAsia="仿宋" w:cs="宋体"/>
          <w:color w:val="000000" w:themeColor="text1"/>
          <w:sz w:val="24"/>
          <w:shd w:val="clear" w:color="auto" w:fill="FFFFFF"/>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ab/>
      </w:r>
    </w:p>
    <w:p>
      <w:pPr>
        <w:pStyle w:val="4"/>
        <w:jc w:val="center"/>
        <w:rPr>
          <w:rFonts w:ascii="仿宋" w:hAnsi="仿宋" w:eastAsia="仿宋"/>
          <w:sz w:val="36"/>
          <w:szCs w:val="36"/>
        </w:rPr>
      </w:pPr>
      <w:bookmarkStart w:id="26" w:name="_Toc1879"/>
      <w:r>
        <w:rPr>
          <w:rFonts w:hint="eastAsia" w:ascii="仿宋" w:hAnsi="仿宋" w:eastAsia="仿宋"/>
          <w:sz w:val="36"/>
          <w:szCs w:val="36"/>
        </w:rPr>
        <w:t>马来西亚马来亚大学</w:t>
      </w:r>
      <w:bookmarkEnd w:id="26"/>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约1260林吉特每学期</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详情请咨询马来亚大学官网https://isc.um.edu.my/fees-undergraduate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（3）品学兼优，学习成绩排名前列，综合表现突出，GPA不低于3.0；</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（4）较强的英语沟通能力（商务和会计专业学生需提供语言成绩：雅思不低于6，托福不低于79）。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申请办法</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个人申请，院系推荐，择优录取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马来亚大学是一所文理学科和医学兼有的综合性大学，是</w:t>
            </w:r>
            <w:r>
              <w:fldChar w:fldCharType="begin"/>
            </w:r>
            <w:r>
              <w:instrText xml:space="preserve"> HYPERLINK "http://baike.baidu.com/view/7009.htm" </w:instrText>
            </w:r>
            <w:r>
              <w:fldChar w:fldCharType="separate"/>
            </w:r>
            <w:r>
              <w:rPr>
                <w:rStyle w:val="36"/>
                <w:rFonts w:hint="eastAsia" w:ascii="仿宋" w:hAnsi="仿宋" w:eastAsia="仿宋" w:cs="宋体"/>
                <w:color w:val="000000" w:themeColor="text1"/>
                <w:u w:val="none"/>
                <w:shd w:val="clear" w:color="auto" w:fill="FFFFFF"/>
                <w14:textFill>
                  <w14:solidFill>
                    <w14:schemeClr w14:val="tx1"/>
                  </w14:solidFill>
                </w14:textFill>
              </w:rPr>
              <w:t>马来西亚</w:t>
            </w:r>
            <w:r>
              <w:rPr>
                <w:rStyle w:val="36"/>
                <w:rFonts w:hint="eastAsia" w:ascii="仿宋" w:hAnsi="仿宋" w:eastAsia="仿宋" w:cs="宋体"/>
                <w:color w:val="000000" w:themeColor="text1"/>
                <w:u w:val="none"/>
                <w:shd w:val="clear" w:color="auto" w:fill="FFFFFF"/>
                <w14:textFill>
                  <w14:solidFill>
                    <w14:schemeClr w14:val="tx1"/>
                  </w14:solidFill>
                </w14:textFill>
              </w:rPr>
              <w:fldChar w:fldCharType="end"/>
            </w:r>
            <w:r>
              <w:rPr>
                <w:rFonts w:hint="eastAsia" w:ascii="仿宋" w:hAnsi="仿宋" w:eastAsia="仿宋" w:cs="宋体"/>
                <w:color w:val="000000" w:themeColor="text1"/>
                <w:shd w:val="clear" w:color="auto" w:fill="FFFFFF"/>
                <w14:textFill>
                  <w14:solidFill>
                    <w14:schemeClr w14:val="tx1"/>
                  </w14:solidFill>
                </w14:textFill>
              </w:rPr>
              <w:t>规模最大和最著名的大学之一，也是一所全马历史最悠久的学府。2011年4月27日，中国国务院总理</w:t>
            </w:r>
            <w:r>
              <w:fldChar w:fldCharType="begin"/>
            </w:r>
            <w:r>
              <w:instrText xml:space="preserve"> HYPERLINK "http://baike.baidu.com/view/1787.htm" </w:instrText>
            </w:r>
            <w:r>
              <w:fldChar w:fldCharType="separate"/>
            </w:r>
            <w:r>
              <w:rPr>
                <w:rStyle w:val="36"/>
                <w:rFonts w:hint="eastAsia" w:ascii="仿宋" w:hAnsi="仿宋" w:eastAsia="仿宋" w:cs="宋体"/>
                <w:color w:val="000000" w:themeColor="text1"/>
                <w:u w:val="none"/>
                <w:shd w:val="clear" w:color="auto" w:fill="FFFFFF"/>
                <w14:textFill>
                  <w14:solidFill>
                    <w14:schemeClr w14:val="tx1"/>
                  </w14:solidFill>
                </w14:textFill>
              </w:rPr>
              <w:t>温家宝</w:t>
            </w:r>
            <w:r>
              <w:rPr>
                <w:rStyle w:val="36"/>
                <w:rFonts w:hint="eastAsia" w:ascii="仿宋" w:hAnsi="仿宋" w:eastAsia="仿宋" w:cs="宋体"/>
                <w:color w:val="000000" w:themeColor="text1"/>
                <w:u w:val="none"/>
                <w:shd w:val="clear" w:color="auto" w:fill="FFFFFF"/>
                <w14:textFill>
                  <w14:solidFill>
                    <w14:schemeClr w14:val="tx1"/>
                  </w14:solidFill>
                </w14:textFill>
              </w:rPr>
              <w:fldChar w:fldCharType="end"/>
            </w:r>
            <w:r>
              <w:rPr>
                <w:rFonts w:hint="eastAsia" w:ascii="仿宋" w:hAnsi="仿宋" w:eastAsia="仿宋" w:cs="宋体"/>
                <w:color w:val="000000" w:themeColor="text1"/>
                <w:shd w:val="clear" w:color="auto" w:fill="FFFFFF"/>
                <w14:textFill>
                  <w14:solidFill>
                    <w14:schemeClr w14:val="tx1"/>
                  </w14:solidFill>
                </w14:textFill>
              </w:rPr>
              <w:t>一行对马来西亚进行国事访问并与马来亚大学师生们进行交流。2014年马来亚大学QS亚洲大学综合排名：第32名、世界大学排名：第167名。马来亚大学学院设置：伊斯兰研究院、马来语研究院、工程学院、教育学院、文科与社会科学学院、建筑环境学院、商务会计学院、计算机科学和信息技术学院、经济和管理学院、语言和语言学学院、法学院、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tbl>
    <w:p>
      <w:pPr>
        <w:pStyle w:val="27"/>
        <w:widowControl/>
        <w:shd w:val="clear" w:color="auto" w:fill="FFFFFF"/>
        <w:jc w:val="center"/>
        <w:rPr>
          <w:rFonts w:ascii="仿宋" w:hAnsi="仿宋" w:eastAsia="仿宋" w:cs="宋体"/>
          <w:b/>
          <w:bCs/>
          <w:color w:val="000000" w:themeColor="text1"/>
          <w:shd w:val="clear" w:color="auto" w:fill="FFFFFF"/>
          <w14:textFill>
            <w14:solidFill>
              <w14:schemeClr w14:val="tx1"/>
            </w14:solidFill>
          </w14:textFill>
        </w:rPr>
      </w:pPr>
    </w:p>
    <w:p>
      <w:pPr>
        <w:pStyle w:val="4"/>
        <w:jc w:val="center"/>
        <w:rPr>
          <w:rFonts w:ascii="仿宋" w:hAnsi="仿宋" w:eastAsia="仿宋"/>
          <w:sz w:val="36"/>
          <w:szCs w:val="36"/>
        </w:rPr>
      </w:pPr>
      <w:bookmarkStart w:id="27" w:name="_Toc18479"/>
      <w:r>
        <w:rPr>
          <w:rFonts w:hint="eastAsia" w:ascii="仿宋" w:hAnsi="仿宋" w:eastAsia="仿宋"/>
          <w:sz w:val="36"/>
          <w:szCs w:val="36"/>
        </w:rPr>
        <w:t>韩国淑明女子大学</w:t>
      </w:r>
      <w:bookmarkEnd w:id="27"/>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仿宋" w:hAnsi="仿宋" w:eastAsia="仿宋" w:cs="宋体"/>
                <w:b/>
                <w:color w:val="000000" w:themeColor="text1"/>
                <w:kern w:val="0"/>
                <w:sz w:val="24"/>
                <w:szCs w:val="24"/>
                <w:lang w:val="en-US" w:eastAsia="zh-CN" w:bidi="ar"/>
                <w14:textFill>
                  <w14:solidFill>
                    <w14:schemeClr w14:val="tx1"/>
                  </w14:solidFill>
                </w14:textFill>
              </w:rPr>
            </w:pPr>
            <w:r>
              <w:rPr>
                <w:rFonts w:hint="eastAsia" w:ascii="仿宋" w:hAnsi="仿宋" w:eastAsia="仿宋" w:cs="宋体"/>
                <w:b/>
                <w:color w:val="000000" w:themeColor="text1"/>
                <w:kern w:val="0"/>
                <w:sz w:val="24"/>
                <w:szCs w:val="24"/>
                <w:shd w:val="clear" w:color="auto" w:fill="FFFFFF"/>
                <w:lang w:val="en-US" w:eastAsia="zh-CN" w:bidi="ar"/>
                <w14:textFill>
                  <w14:solidFill>
                    <w14:schemeClr w14:val="tx1"/>
                  </w14:solidFill>
                </w14:textFill>
              </w:rPr>
              <w:t>项目内容</w:t>
            </w:r>
          </w:p>
        </w:tc>
        <w:tc>
          <w:tcPr>
            <w:tcW w:w="6515" w:type="dxa"/>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仿宋" w:hAnsi="仿宋" w:eastAsia="仿宋" w:cs="宋体"/>
                <w:color w:val="000000" w:themeColor="text1"/>
                <w:kern w:val="0"/>
                <w:sz w:val="24"/>
                <w:szCs w:val="24"/>
                <w:shd w:val="clear" w:color="auto" w:fill="FFFFFF"/>
                <w:lang w:val="en-US" w:eastAsia="zh-CN" w:bidi="ar"/>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仿宋" w:hAnsi="仿宋" w:eastAsia="仿宋" w:cs="宋体"/>
                <w:b/>
                <w:color w:val="000000" w:themeColor="text1"/>
                <w:kern w:val="0"/>
                <w:sz w:val="24"/>
                <w:szCs w:val="24"/>
                <w:lang w:val="en-US" w:eastAsia="zh-CN" w:bidi="ar"/>
                <w14:textFill>
                  <w14:solidFill>
                    <w14:schemeClr w14:val="tx1"/>
                  </w14:solidFill>
                </w14:textFill>
              </w:rPr>
            </w:pPr>
            <w:r>
              <w:rPr>
                <w:rFonts w:hint="eastAsia" w:ascii="仿宋" w:hAnsi="仿宋" w:eastAsia="仿宋" w:cs="宋体"/>
                <w:b/>
                <w:color w:val="000000" w:themeColor="text1"/>
                <w:kern w:val="0"/>
                <w:sz w:val="24"/>
                <w:szCs w:val="24"/>
                <w:lang w:val="en-US" w:eastAsia="zh-CN" w:bidi="ar"/>
                <w14:textFill>
                  <w14:solidFill>
                    <w14:schemeClr w14:val="tx1"/>
                  </w14:solidFill>
                </w14:textFill>
              </w:rPr>
              <w:t>选派专业</w:t>
            </w:r>
          </w:p>
        </w:tc>
        <w:tc>
          <w:tcPr>
            <w:tcW w:w="6515" w:type="dxa"/>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仿宋" w:hAnsi="仿宋" w:eastAsia="仿宋" w:cs="宋体"/>
                <w:color w:val="000000" w:themeColor="text1"/>
                <w:kern w:val="0"/>
                <w:sz w:val="24"/>
                <w:szCs w:val="24"/>
                <w:lang w:val="en-US" w:eastAsia="zh-CN" w:bidi="ar"/>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仿宋" w:hAnsi="仿宋" w:eastAsia="仿宋" w:cs="宋体"/>
                <w:b/>
                <w:color w:val="000000" w:themeColor="text1"/>
                <w:kern w:val="0"/>
                <w:sz w:val="24"/>
                <w:szCs w:val="24"/>
                <w:lang w:val="en-US" w:eastAsia="zh-CN" w:bidi="ar"/>
                <w14:textFill>
                  <w14:solidFill>
                    <w14:schemeClr w14:val="tx1"/>
                  </w14:solidFill>
                </w14:textFill>
              </w:rPr>
            </w:pPr>
            <w:r>
              <w:rPr>
                <w:rFonts w:hint="eastAsia" w:ascii="仿宋" w:hAnsi="仿宋" w:eastAsia="仿宋" w:cs="宋体"/>
                <w:b/>
                <w:color w:val="000000" w:themeColor="text1"/>
                <w:kern w:val="0"/>
                <w:sz w:val="24"/>
                <w:szCs w:val="24"/>
                <w:lang w:val="en-US" w:eastAsia="zh-CN" w:bidi="ar"/>
                <w14:textFill>
                  <w14:solidFill>
                    <w14:schemeClr w14:val="tx1"/>
                  </w14:solidFill>
                </w14:textFill>
              </w:rPr>
              <w:t>选派类别</w:t>
            </w:r>
          </w:p>
        </w:tc>
        <w:tc>
          <w:tcPr>
            <w:tcW w:w="6515" w:type="dxa"/>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仿宋" w:hAnsi="仿宋" w:eastAsia="仿宋" w:cs="宋体"/>
                <w:color w:val="000000" w:themeColor="text1"/>
                <w:kern w:val="0"/>
                <w:sz w:val="24"/>
                <w:szCs w:val="24"/>
                <w:lang w:val="en-US" w:eastAsia="zh-CN" w:bidi="ar"/>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仿宋" w:hAnsi="仿宋" w:eastAsia="仿宋" w:cs="宋体"/>
                <w:b/>
                <w:color w:val="000000" w:themeColor="text1"/>
                <w:kern w:val="0"/>
                <w:sz w:val="24"/>
                <w:szCs w:val="24"/>
                <w:lang w:val="en-US" w:eastAsia="zh-CN" w:bidi="ar"/>
                <w14:textFill>
                  <w14:solidFill>
                    <w14:schemeClr w14:val="tx1"/>
                  </w14:solidFill>
                </w14:textFill>
              </w:rPr>
            </w:pPr>
            <w:r>
              <w:rPr>
                <w:rFonts w:hint="eastAsia" w:ascii="仿宋" w:hAnsi="仿宋" w:eastAsia="仿宋" w:cs="宋体"/>
                <w:b/>
                <w:color w:val="000000" w:themeColor="text1"/>
                <w:kern w:val="0"/>
                <w:sz w:val="24"/>
                <w:szCs w:val="24"/>
                <w:lang w:val="en-US" w:eastAsia="zh-CN" w:bidi="ar"/>
                <w14:textFill>
                  <w14:solidFill>
                    <w14:schemeClr w14:val="tx1"/>
                  </w14:solidFill>
                </w14:textFill>
              </w:rPr>
              <w:t>选派人数</w:t>
            </w:r>
          </w:p>
        </w:tc>
        <w:tc>
          <w:tcPr>
            <w:tcW w:w="6515" w:type="dxa"/>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仿宋" w:hAnsi="仿宋" w:eastAsia="仿宋" w:cs="宋体"/>
                <w:color w:val="000000" w:themeColor="text1"/>
                <w:kern w:val="0"/>
                <w:sz w:val="24"/>
                <w:szCs w:val="24"/>
                <w:lang w:val="en-US" w:eastAsia="zh-CN" w:bidi="ar"/>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仿宋" w:hAnsi="仿宋" w:eastAsia="仿宋" w:cs="宋体"/>
                <w:b/>
                <w:color w:val="000000" w:themeColor="text1"/>
                <w:kern w:val="0"/>
                <w:sz w:val="24"/>
                <w:szCs w:val="24"/>
                <w:lang w:val="en-US" w:eastAsia="zh-CN" w:bidi="ar"/>
                <w14:textFill>
                  <w14:solidFill>
                    <w14:schemeClr w14:val="tx1"/>
                  </w14:solidFill>
                </w14:textFill>
              </w:rPr>
            </w:pPr>
            <w:r>
              <w:rPr>
                <w:rFonts w:hint="eastAsia" w:ascii="仿宋" w:hAnsi="仿宋" w:eastAsia="仿宋" w:cs="宋体"/>
                <w:b/>
                <w:color w:val="000000" w:themeColor="text1"/>
                <w:kern w:val="0"/>
                <w:sz w:val="24"/>
                <w:szCs w:val="24"/>
                <w:lang w:val="en-US" w:eastAsia="zh-CN" w:bidi="ar"/>
                <w14:textFill>
                  <w14:solidFill>
                    <w14:schemeClr w14:val="tx1"/>
                  </w14:solidFill>
                </w14:textFill>
              </w:rPr>
              <w:t>交流期限</w:t>
            </w:r>
          </w:p>
        </w:tc>
        <w:tc>
          <w:tcPr>
            <w:tcW w:w="6515" w:type="dxa"/>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仿宋" w:hAnsi="仿宋" w:eastAsia="仿宋" w:cs="宋体"/>
                <w:color w:val="000000" w:themeColor="text1"/>
                <w:kern w:val="0"/>
                <w:sz w:val="24"/>
                <w:szCs w:val="24"/>
                <w:lang w:val="en-US" w:eastAsia="zh-CN" w:bidi="ar"/>
                <w14:textFill>
                  <w14:solidFill>
                    <w14:schemeClr w14:val="tx1"/>
                  </w14:solidFill>
                </w14:textFill>
              </w:rPr>
              <w:t>1学期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仿宋" w:hAnsi="仿宋" w:eastAsia="仿宋" w:cs="宋体"/>
                <w:b/>
                <w:color w:val="000000" w:themeColor="text1"/>
                <w:kern w:val="0"/>
                <w:sz w:val="24"/>
                <w:szCs w:val="24"/>
                <w:lang w:val="en-US" w:eastAsia="zh-CN" w:bidi="ar"/>
                <w14:textFill>
                  <w14:solidFill>
                    <w14:schemeClr w14:val="tx1"/>
                  </w14:solidFill>
                </w14:textFill>
              </w:rPr>
            </w:pPr>
            <w:r>
              <w:rPr>
                <w:rFonts w:hint="eastAsia" w:ascii="仿宋" w:hAnsi="仿宋" w:eastAsia="仿宋" w:cs="宋体"/>
                <w:b/>
                <w:color w:val="000000" w:themeColor="text1"/>
                <w:kern w:val="0"/>
                <w:sz w:val="24"/>
                <w:szCs w:val="24"/>
                <w:lang w:val="en-US" w:eastAsia="zh-CN" w:bidi="ar"/>
                <w14:textFill>
                  <w14:solidFill>
                    <w14:schemeClr w14:val="tx1"/>
                  </w14:solidFill>
                </w14:textFill>
              </w:rPr>
              <w:t>所需费用</w:t>
            </w:r>
          </w:p>
        </w:tc>
        <w:tc>
          <w:tcPr>
            <w:tcW w:w="6515" w:type="dxa"/>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仿宋" w:hAnsi="仿宋" w:eastAsia="仿宋" w:cs="宋体"/>
                <w:color w:val="000000" w:themeColor="text1"/>
                <w:kern w:val="0"/>
                <w:sz w:val="24"/>
                <w:szCs w:val="24"/>
                <w:lang w:val="en-US" w:eastAsia="zh-CN" w:bidi="ar"/>
                <w14:textFill>
                  <w14:solidFill>
                    <w14:schemeClr w14:val="tx1"/>
                  </w14:solidFill>
                </w14:textFill>
              </w:rPr>
              <w:t>约4,000,000韩元/每学期</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仿宋" w:hAnsi="仿宋" w:eastAsia="仿宋" w:cs="宋体"/>
                <w:color w:val="000000" w:themeColor="text1"/>
                <w:kern w:val="0"/>
                <w:sz w:val="24"/>
                <w:szCs w:val="24"/>
                <w:lang w:val="en-US" w:eastAsia="zh-CN" w:bidi="ar"/>
                <w14:textFill>
                  <w14:solidFill>
                    <w14:schemeClr w14:val="tx1"/>
                  </w14:solidFill>
                </w14:textFill>
              </w:rPr>
              <w:t>校内住宿费约260,000韩元/每月</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仿宋" w:hAnsi="仿宋" w:eastAsia="仿宋" w:cs="宋体"/>
                <w:color w:val="000000" w:themeColor="text1"/>
                <w:kern w:val="0"/>
                <w:sz w:val="24"/>
                <w:szCs w:val="24"/>
                <w:lang w:val="en-US" w:eastAsia="zh-CN" w:bidi="ar"/>
                <w14:textFill>
                  <w14:solidFill>
                    <w14:schemeClr w14:val="tx1"/>
                  </w14:solidFill>
                </w14:textFill>
              </w:rPr>
              <w:t>请咨询淑明女子大学官网http://www.sookmyung.ac.kr/sookmyungkr/index.do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仿宋" w:hAnsi="仿宋" w:eastAsia="仿宋" w:cs="宋体"/>
                <w:b/>
                <w:color w:val="000000" w:themeColor="text1"/>
                <w:kern w:val="0"/>
                <w:sz w:val="24"/>
                <w:szCs w:val="24"/>
                <w:lang w:val="en-US" w:eastAsia="zh-CN" w:bidi="ar"/>
                <w14:textFill>
                  <w14:solidFill>
                    <w14:schemeClr w14:val="tx1"/>
                  </w14:solidFill>
                </w14:textFill>
              </w:rPr>
            </w:pPr>
            <w:r>
              <w:rPr>
                <w:rFonts w:hint="eastAsia" w:ascii="仿宋" w:hAnsi="仿宋" w:eastAsia="仿宋" w:cs="宋体"/>
                <w:b/>
                <w:color w:val="000000" w:themeColor="text1"/>
                <w:kern w:val="0"/>
                <w:sz w:val="24"/>
                <w:szCs w:val="24"/>
                <w:lang w:val="en-US" w:eastAsia="zh-CN" w:bidi="ar"/>
                <w14:textFill>
                  <w14:solidFill>
                    <w14:schemeClr w14:val="tx1"/>
                  </w14:solidFill>
                </w14:textFill>
              </w:rPr>
              <w:t>申请条件</w:t>
            </w:r>
          </w:p>
        </w:tc>
        <w:tc>
          <w:tcPr>
            <w:tcW w:w="6515" w:type="dxa"/>
          </w:tcPr>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仿宋" w:hAnsi="仿宋" w:eastAsia="仿宋" w:cs="宋体"/>
                <w:color w:val="000000" w:themeColor="text1"/>
                <w:kern w:val="0"/>
                <w:sz w:val="24"/>
                <w:szCs w:val="24"/>
                <w:lang w:val="en-US" w:eastAsia="zh-CN" w:bidi="ar"/>
                <w14:textFill>
                  <w14:solidFill>
                    <w14:schemeClr w14:val="tx1"/>
                  </w14:solidFill>
                </w14:textFill>
              </w:rPr>
              <w:t>申请免学费GPA3.0以上建议提供韩语成绩或托福成绩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仿宋" w:hAnsi="仿宋" w:eastAsia="仿宋" w:cs="宋体"/>
                <w:b/>
                <w:color w:val="000000" w:themeColor="text1"/>
                <w:kern w:val="0"/>
                <w:sz w:val="24"/>
                <w:szCs w:val="24"/>
                <w:lang w:val="en-US" w:eastAsia="zh-CN" w:bidi="ar"/>
                <w14:textFill>
                  <w14:solidFill>
                    <w14:schemeClr w14:val="tx1"/>
                  </w14:solidFill>
                </w14:textFill>
              </w:rPr>
            </w:pPr>
            <w:r>
              <w:rPr>
                <w:rFonts w:hint="eastAsia" w:ascii="仿宋" w:hAnsi="仿宋" w:eastAsia="仿宋" w:cs="宋体"/>
                <w:b/>
                <w:color w:val="000000" w:themeColor="text1"/>
                <w:kern w:val="0"/>
                <w:sz w:val="24"/>
                <w:szCs w:val="24"/>
                <w:lang w:val="en-US" w:eastAsia="zh-CN" w:bidi="ar"/>
                <w14:textFill>
                  <w14:solidFill>
                    <w14:schemeClr w14:val="tx1"/>
                  </w14:solidFill>
                </w14:textFill>
              </w:rPr>
              <w:t>校内申请材料</w:t>
            </w:r>
          </w:p>
        </w:tc>
        <w:tc>
          <w:tcPr>
            <w:tcW w:w="6515" w:type="dxa"/>
          </w:tcPr>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left"/>
              <w:rPr>
                <w:rFonts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仿宋" w:hAnsi="仿宋" w:eastAsia="仿宋" w:cs="宋体"/>
                <w:color w:val="000000" w:themeColor="text1"/>
                <w:kern w:val="0"/>
                <w:sz w:val="24"/>
                <w:szCs w:val="24"/>
                <w:shd w:val="clear" w:color="auto" w:fill="FFFFFF"/>
                <w:lang w:val="en-US" w:eastAsia="zh-CN" w:bidi="ar"/>
                <w14:textFill>
                  <w14:solidFill>
                    <w14:schemeClr w14:val="tx1"/>
                  </w14:solidFill>
                </w14:textFill>
              </w:rPr>
              <w:t>个人申请、成绩单和院系推荐信(内容包括平时学习和各方面表现等情况,综合排名和年级总人数等)，择优录取。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仿宋" w:hAnsi="仿宋" w:eastAsia="仿宋" w:cs="宋体"/>
                <w:b/>
                <w:color w:val="000000" w:themeColor="text1"/>
                <w:kern w:val="0"/>
                <w:sz w:val="24"/>
                <w:szCs w:val="24"/>
                <w:lang w:val="en-US" w:eastAsia="zh-CN" w:bidi="ar"/>
                <w14:textFill>
                  <w14:solidFill>
                    <w14:schemeClr w14:val="tx1"/>
                  </w14:solidFill>
                </w14:textFill>
              </w:rPr>
            </w:pPr>
            <w:r>
              <w:rPr>
                <w:rFonts w:hint="eastAsia" w:ascii="仿宋" w:hAnsi="仿宋" w:eastAsia="仿宋" w:cs="宋体"/>
                <w:b/>
                <w:color w:val="000000" w:themeColor="text1"/>
                <w:kern w:val="0"/>
                <w:sz w:val="24"/>
                <w:szCs w:val="24"/>
                <w:lang w:val="en-US" w:eastAsia="zh-CN" w:bidi="ar"/>
                <w14:textFill>
                  <w14:solidFill>
                    <w14:schemeClr w14:val="tx1"/>
                  </w14:solidFill>
                </w14:textFill>
              </w:rPr>
              <w:t>交流院系介绍</w:t>
            </w:r>
          </w:p>
        </w:tc>
        <w:tc>
          <w:tcPr>
            <w:tcW w:w="6515" w:type="dxa"/>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仿宋" w:hAnsi="仿宋" w:eastAsia="仿宋" w:cs="宋体"/>
                <w:color w:val="000000" w:themeColor="text1"/>
                <w:kern w:val="0"/>
                <w:sz w:val="24"/>
                <w:szCs w:val="24"/>
                <w:lang w:val="en-US" w:eastAsia="zh-CN" w:bidi="ar"/>
                <w14:textFill>
                  <w14:solidFill>
                    <w14:schemeClr w14:val="tx1"/>
                  </w14:solidFill>
                </w14:textFill>
              </w:rPr>
              <w:t>韩国女性教育发源地 -淑明女子大学校是在大韩帝国时期1906年由</w:t>
            </w:r>
            <w:r>
              <w:rPr>
                <w:rFonts w:asciiTheme="minorHAnsi" w:hAnsiTheme="minorHAnsi" w:eastAsiaTheme="minorEastAsia" w:cstheme="minorBidi"/>
                <w:kern w:val="0"/>
                <w:sz w:val="24"/>
                <w:szCs w:val="24"/>
                <w:lang w:val="en-US" w:eastAsia="zh-CN" w:bidi="ar"/>
              </w:rPr>
              <w:fldChar w:fldCharType="begin"/>
            </w:r>
            <w:r>
              <w:rPr>
                <w:rFonts w:asciiTheme="minorHAnsi" w:hAnsiTheme="minorHAnsi" w:eastAsiaTheme="minorEastAsia" w:cstheme="minorBidi"/>
                <w:kern w:val="0"/>
                <w:sz w:val="24"/>
                <w:szCs w:val="24"/>
                <w:lang w:val="en-US" w:eastAsia="zh-CN" w:bidi="ar"/>
              </w:rPr>
              <w:instrText xml:space="preserve"> HYPERLINK "https://baike.baidu.com/item/%E6%9C%9D%E9%B2%9C%E9%AB%98%E5%AE%97/1546268" \t "https://baike.baidu.com/item/%E6%B7%91%E6%98%8E%E5%A5%B3%E5%AD%90%E5%A4%A7%E5%AD%A6/_blank" </w:instrText>
            </w:r>
            <w:r>
              <w:rPr>
                <w:rFonts w:asciiTheme="minorHAnsi" w:hAnsiTheme="minorHAnsi" w:eastAsiaTheme="minorEastAsia" w:cstheme="minorBidi"/>
                <w:kern w:val="0"/>
                <w:sz w:val="24"/>
                <w:szCs w:val="24"/>
                <w:lang w:val="en-US" w:eastAsia="zh-CN" w:bidi="ar"/>
              </w:rPr>
              <w:fldChar w:fldCharType="separate"/>
            </w:r>
            <w:r>
              <w:rPr>
                <w:rFonts w:hint="eastAsia" w:ascii="仿宋" w:hAnsi="仿宋" w:eastAsia="仿宋" w:cs="宋体"/>
                <w:color w:val="000000" w:themeColor="text1"/>
                <w:kern w:val="0"/>
                <w:sz w:val="24"/>
                <w:szCs w:val="24"/>
                <w:lang w:val="en-US" w:eastAsia="zh-CN" w:bidi="ar"/>
                <w14:textFill>
                  <w14:solidFill>
                    <w14:schemeClr w14:val="tx1"/>
                  </w14:solidFill>
                </w14:textFill>
              </w:rPr>
              <w:t>朝鲜高宗</w:t>
            </w:r>
            <w:r>
              <w:rPr>
                <w:rFonts w:hint="eastAsia" w:ascii="仿宋" w:hAnsi="仿宋" w:eastAsia="仿宋" w:cs="宋体"/>
                <w:color w:val="000000" w:themeColor="text1"/>
                <w:kern w:val="0"/>
                <w:sz w:val="24"/>
                <w:szCs w:val="24"/>
                <w:lang w:val="en-US" w:eastAsia="zh-CN" w:bidi="ar"/>
                <w14:textFill>
                  <w14:solidFill>
                    <w14:schemeClr w14:val="tx1"/>
                  </w14:solidFill>
                </w14:textFill>
              </w:rPr>
              <w:fldChar w:fldCharType="end"/>
            </w:r>
            <w:r>
              <w:rPr>
                <w:rFonts w:hint="eastAsia" w:ascii="仿宋" w:hAnsi="仿宋" w:eastAsia="仿宋" w:cs="宋体"/>
                <w:color w:val="000000" w:themeColor="text1"/>
                <w:kern w:val="0"/>
                <w:sz w:val="24"/>
                <w:szCs w:val="24"/>
                <w:lang w:val="en-US" w:eastAsia="zh-CN" w:bidi="ar"/>
                <w14:textFill>
                  <w14:solidFill>
                    <w14:schemeClr w14:val="tx1"/>
                  </w14:solidFill>
                </w14:textFill>
              </w:rPr>
              <w:t>之</w:t>
            </w:r>
            <w:r>
              <w:rPr>
                <w:rFonts w:asciiTheme="minorHAnsi" w:hAnsiTheme="minorHAnsi" w:eastAsiaTheme="minorEastAsia" w:cstheme="minorBidi"/>
                <w:kern w:val="0"/>
                <w:sz w:val="24"/>
                <w:szCs w:val="24"/>
                <w:lang w:val="en-US" w:eastAsia="zh-CN" w:bidi="ar"/>
              </w:rPr>
              <w:fldChar w:fldCharType="begin"/>
            </w:r>
            <w:r>
              <w:rPr>
                <w:rFonts w:asciiTheme="minorHAnsi" w:hAnsiTheme="minorHAnsi" w:eastAsiaTheme="minorEastAsia" w:cstheme="minorBidi"/>
                <w:kern w:val="0"/>
                <w:sz w:val="24"/>
                <w:szCs w:val="24"/>
                <w:lang w:val="en-US" w:eastAsia="zh-CN" w:bidi="ar"/>
              </w:rPr>
              <w:instrText xml:space="preserve"> HYPERLINK "https://baike.baidu.com/item/%E7%BA%AF%E7%8C%AE%E7%9A%87%E8%B4%B5%E5%A6%83/8128026" \t "https://baike.baidu.com/item/%E6%B7%91%E6%98%8E%E5%A5%B3%E5%AD%90%E5%A4%A7%E5%AD%A6/_blank" </w:instrText>
            </w:r>
            <w:r>
              <w:rPr>
                <w:rFonts w:asciiTheme="minorHAnsi" w:hAnsiTheme="minorHAnsi" w:eastAsiaTheme="minorEastAsia" w:cstheme="minorBidi"/>
                <w:kern w:val="0"/>
                <w:sz w:val="24"/>
                <w:szCs w:val="24"/>
                <w:lang w:val="en-US" w:eastAsia="zh-CN" w:bidi="ar"/>
              </w:rPr>
              <w:fldChar w:fldCharType="separate"/>
            </w:r>
            <w:r>
              <w:rPr>
                <w:rFonts w:hint="eastAsia" w:ascii="仿宋" w:hAnsi="仿宋" w:eastAsia="仿宋" w:cs="宋体"/>
                <w:color w:val="000000" w:themeColor="text1"/>
                <w:kern w:val="0"/>
                <w:sz w:val="24"/>
                <w:szCs w:val="24"/>
                <w:lang w:val="en-US" w:eastAsia="zh-CN" w:bidi="ar"/>
                <w14:textFill>
                  <w14:solidFill>
                    <w14:schemeClr w14:val="tx1"/>
                  </w14:solidFill>
                </w14:textFill>
              </w:rPr>
              <w:t>纯献皇贵妃</w:t>
            </w:r>
            <w:r>
              <w:rPr>
                <w:rFonts w:hint="eastAsia" w:ascii="仿宋" w:hAnsi="仿宋" w:eastAsia="仿宋" w:cs="宋体"/>
                <w:color w:val="000000" w:themeColor="text1"/>
                <w:kern w:val="0"/>
                <w:sz w:val="24"/>
                <w:szCs w:val="24"/>
                <w:lang w:val="en-US" w:eastAsia="zh-CN" w:bidi="ar"/>
                <w14:textFill>
                  <w14:solidFill>
                    <w14:schemeClr w14:val="tx1"/>
                  </w14:solidFill>
                </w14:textFill>
              </w:rPr>
              <w:fldChar w:fldCharType="end"/>
            </w:r>
            <w:r>
              <w:rPr>
                <w:rFonts w:hint="eastAsia" w:ascii="仿宋" w:hAnsi="仿宋" w:eastAsia="仿宋" w:cs="宋体"/>
                <w:color w:val="000000" w:themeColor="text1"/>
                <w:kern w:val="0"/>
                <w:sz w:val="24"/>
                <w:szCs w:val="24"/>
                <w:lang w:val="en-US" w:eastAsia="zh-CN" w:bidi="ar"/>
                <w14:textFill>
                  <w14:solidFill>
                    <w14:schemeClr w14:val="tx1"/>
                  </w14:solidFill>
                </w14:textFill>
              </w:rPr>
              <w:t>亲自设立的大学，是国内首次创建的民族女性私立学府。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仿宋" w:hAnsi="仿宋" w:eastAsia="仿宋" w:cs="宋体"/>
                <w:color w:val="000000" w:themeColor="text1"/>
                <w:kern w:val="0"/>
                <w:sz w:val="24"/>
                <w:szCs w:val="24"/>
                <w:lang w:val="en-US" w:eastAsia="zh-CN" w:bidi="ar"/>
                <w14:textFill>
                  <w14:solidFill>
                    <w14:schemeClr w14:val="tx1"/>
                  </w14:solidFill>
                </w14:textFill>
              </w:rPr>
              <w:t>淑明女子大学建校以来以唤醒培养女性所具备的潜在力量和品行兼备的女性领导者为己任。淑明女子大学是韩国的私立综合女性大学，是韩国最早的女性教育机构。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仿宋" w:hAnsi="仿宋" w:eastAsia="仿宋" w:cs="宋体"/>
                <w:b/>
                <w:color w:val="000000" w:themeColor="text1"/>
                <w:kern w:val="0"/>
                <w:sz w:val="24"/>
                <w:szCs w:val="24"/>
                <w:lang w:val="en-US" w:eastAsia="zh-CN" w:bidi="ar"/>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tbl>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center"/>
        <w:rPr>
          <w:rFonts w:ascii="仿宋" w:hAnsi="仿宋" w:eastAsia="仿宋" w:cs="宋体"/>
          <w:b/>
          <w:bCs/>
          <w:color w:val="000000" w:themeColor="text1"/>
          <w:kern w:val="0"/>
          <w:sz w:val="36"/>
          <w:szCs w:val="36"/>
          <w:shd w:val="clear" w:color="auto" w:fill="FFFFFF"/>
          <w:lang w:val="en-US" w:eastAsia="zh-CN" w:bidi="ar"/>
          <w14:textFill>
            <w14:solidFill>
              <w14:schemeClr w14:val="tx1"/>
            </w14:solidFill>
          </w14:textFill>
        </w:rPr>
      </w:pPr>
    </w:p>
    <w:p>
      <w:pPr>
        <w:pStyle w:val="4"/>
        <w:jc w:val="center"/>
        <w:rPr>
          <w:rFonts w:ascii="仿宋" w:hAnsi="仿宋" w:eastAsia="仿宋"/>
          <w:sz w:val="36"/>
          <w:szCs w:val="36"/>
        </w:rPr>
      </w:pPr>
      <w:bookmarkStart w:id="28" w:name="_Toc25313"/>
      <w:bookmarkStart w:id="29" w:name="_Toc2876"/>
      <w:r>
        <w:rPr>
          <w:rFonts w:hint="eastAsia" w:ascii="仿宋" w:hAnsi="仿宋" w:eastAsia="仿宋"/>
          <w:sz w:val="36"/>
          <w:szCs w:val="36"/>
        </w:rPr>
        <w:t>韩国延世大学</w:t>
      </w:r>
      <w:bookmarkEnd w:id="28"/>
      <w:bookmarkEnd w:id="29"/>
    </w:p>
    <w:tbl>
      <w:tblPr>
        <w:tblStyle w:val="3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shd w:val="clear" w:color="auto" w:fill="FFFFFF"/>
                <w14:textFill>
                  <w14:solidFill>
                    <w14:schemeClr w14:val="tx1"/>
                  </w14:solidFill>
                </w14:textFill>
              </w:rPr>
              <w:t>项目内容</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每学期选派优秀本科生进行交流学习。学习结束后，学生可将相关学分转换回我校。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选派专业</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不限（须国外院校有符合的相关课程）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选派类别</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申请时为大二或大三全日制在读本科生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选派人数</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不限（自费）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交流期限</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1学期或1学年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所需费用</w:t>
            </w:r>
          </w:p>
        </w:tc>
        <w:tc>
          <w:tcPr>
            <w:tcW w:w="6515" w:type="dxa"/>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31000元/学期</w:t>
            </w:r>
          </w:p>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请咨询延世大学官网https://www.yonsei.ac.kr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申请条件</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（1）热爱祖国，具有良好的政治思想素质，在校期间无违法违纪记录；</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（2）身心健康，无不适合在外学习的疾病史；</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（3）品学兼优，学习成绩排名前列，GPA不低于2.5/4.0;</w:t>
            </w:r>
          </w:p>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（4）较强的英语沟通能力（要求雅思不低于6.5或托福不低于79）。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校内申请材料</w:t>
            </w:r>
          </w:p>
        </w:tc>
        <w:tc>
          <w:tcPr>
            <w:tcW w:w="6515" w:type="dxa"/>
          </w:tcPr>
          <w:p>
            <w:pPr>
              <w:pStyle w:val="27"/>
              <w:widowControl/>
              <w:shd w:val="clear" w:color="auto" w:fill="FFFFFF"/>
              <w:ind w:firstLine="420"/>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shd w:val="clear" w:color="auto" w:fill="FFFFFF"/>
                <w14:textFill>
                  <w14:solidFill>
                    <w14:schemeClr w14:val="tx1"/>
                  </w14:solidFill>
                </w14:textFill>
              </w:rPr>
              <w:t>个人申请、成绩单和院系推荐信(内容包括平时学习和各方面表现等情况,综合排名和年级总人数等)</w:t>
            </w: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cs="宋体"/>
                <w:color w:val="000000" w:themeColor="text1"/>
                <w:shd w:val="clear" w:color="auto" w:fill="FFFFFF"/>
                <w14:textFill>
                  <w14:solidFill>
                    <w14:schemeClr w14:val="tx1"/>
                  </w14:solidFill>
                </w14:textFill>
              </w:rPr>
              <w:t>，择优录取。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tcPr>
          <w:p>
            <w:pPr>
              <w:pStyle w:val="27"/>
              <w:widowControl/>
              <w:jc w:val="lef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交流院系介绍</w:t>
            </w:r>
          </w:p>
        </w:tc>
        <w:tc>
          <w:tcPr>
            <w:tcW w:w="6515" w:type="dxa"/>
          </w:tcPr>
          <w:p>
            <w:pPr>
              <w:pStyle w:val="27"/>
              <w:widowControl/>
              <w:shd w:val="clear" w:color="auto" w:fill="FFFFFF"/>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延世大学位于韩国首尔，是一所以基督教精神建立的世界顶尖研究型综合大学，与首尔大学和高丽大学并称为韩国大学的一片天，位列韩国SKY顶尖大学第3位，韩国公认最著名的三所大学之一。为环太平洋大学联盟成员。世界大学排名中一直名列全球前150位以内，成立于1885年，是韩国最古老的大学。2019泰晤士世界大学排名商业、创新、基础设施世界第一。学校设置文科学院、教育科学学院、神科学院、商经学院、社会科学学院、法科学院、理科学院、生活科学学院、牙科学院、护理学院、工科学院经、法学院、保健科学院、医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5" w:type="dxa"/>
            <w:vAlign w:val="center"/>
          </w:tcPr>
          <w:p>
            <w:pPr>
              <w:pStyle w:val="27"/>
              <w:widowControl/>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报名咨询方式</w:t>
            </w:r>
          </w:p>
        </w:tc>
        <w:tc>
          <w:tcPr>
            <w:tcW w:w="6515" w:type="dxa"/>
            <w:vAlign w:val="center"/>
          </w:tcPr>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北京校部</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联系人：李芊芊</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电话：010-61772049</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地点：主D837</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保定校区</w:t>
            </w:r>
          </w:p>
          <w:p>
            <w:pP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联系人：赵乔</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电话：0312-7522348</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地点：</w:t>
            </w:r>
            <w:r>
              <w:rPr>
                <w:rFonts w:hint="eastAsia" w:ascii="仿宋" w:hAnsi="仿宋" w:eastAsia="仿宋" w:cs="宋体"/>
                <w:color w:val="000000" w:themeColor="text1"/>
                <w:sz w:val="24"/>
                <w:lang w:val="en-US" w:eastAsia="zh-CN"/>
                <w14:textFill>
                  <w14:solidFill>
                    <w14:schemeClr w14:val="tx1"/>
                  </w14:solidFill>
                </w14:textFill>
              </w:rPr>
              <w:t>综合楼710</w:t>
            </w:r>
          </w:p>
        </w:tc>
      </w:tr>
    </w:tbl>
    <w:p>
      <w:pPr>
        <w:pStyle w:val="27"/>
        <w:widowControl/>
        <w:shd w:val="clear" w:color="auto" w:fill="FFFFFF"/>
        <w:ind w:firstLine="420"/>
        <w:jc w:val="lef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ab/>
      </w:r>
    </w:p>
    <w:p>
      <w:pPr>
        <w:pStyle w:val="27"/>
        <w:widowControl/>
        <w:shd w:val="clear" w:color="auto" w:fill="FFFFFF"/>
        <w:jc w:val="center"/>
        <w:rPr>
          <w:rFonts w:ascii="仿宋" w:hAnsi="仿宋" w:eastAsia="仿宋" w:cs="宋体"/>
          <w:b/>
          <w:bCs/>
          <w:color w:val="000000" w:themeColor="text1"/>
          <w:shd w:val="clear" w:color="auto" w:fill="FFFFFF"/>
          <w14:textFill>
            <w14:solidFill>
              <w14:schemeClr w14:val="tx1"/>
            </w14:solidFill>
          </w14:textFill>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1</w:t>
    </w:r>
    <w:r>
      <w:rPr>
        <w:rStyle w:val="34"/>
      </w:rPr>
      <w:fldChar w:fldCharType="end"/>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34"/>
      </w:rPr>
    </w:pPr>
    <w:r>
      <w:rPr>
        <w:rStyle w:val="34"/>
      </w:rPr>
      <w:fldChar w:fldCharType="begin"/>
    </w:r>
    <w:r>
      <w:rPr>
        <w:rStyle w:val="34"/>
      </w:rPr>
      <w:instrText xml:space="preserve">PAGE  </w:instrText>
    </w:r>
    <w:r>
      <w:rPr>
        <w:rStyle w:val="34"/>
      </w:rPr>
      <w:fldChar w:fldCharType="end"/>
    </w:r>
  </w:p>
  <w:p>
    <w:pPr>
      <w:pStyle w:val="1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0F01B"/>
    <w:multiLevelType w:val="singleLevel"/>
    <w:tmpl w:val="50C0F0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B637C3"/>
    <w:rsid w:val="000170D4"/>
    <w:rsid w:val="00042630"/>
    <w:rsid w:val="0006648A"/>
    <w:rsid w:val="000C7727"/>
    <w:rsid w:val="000D0A5E"/>
    <w:rsid w:val="00117094"/>
    <w:rsid w:val="00122C08"/>
    <w:rsid w:val="00123A52"/>
    <w:rsid w:val="00147B49"/>
    <w:rsid w:val="001A25C7"/>
    <w:rsid w:val="001E0B59"/>
    <w:rsid w:val="00204706"/>
    <w:rsid w:val="00241F68"/>
    <w:rsid w:val="002A051F"/>
    <w:rsid w:val="002C32ED"/>
    <w:rsid w:val="002E4C53"/>
    <w:rsid w:val="002F6A10"/>
    <w:rsid w:val="00320724"/>
    <w:rsid w:val="00344EAD"/>
    <w:rsid w:val="00354CCD"/>
    <w:rsid w:val="00366073"/>
    <w:rsid w:val="003B0EF6"/>
    <w:rsid w:val="003B75FB"/>
    <w:rsid w:val="00437DA0"/>
    <w:rsid w:val="004856AE"/>
    <w:rsid w:val="004B06C3"/>
    <w:rsid w:val="004D7D89"/>
    <w:rsid w:val="004E3F03"/>
    <w:rsid w:val="004F0007"/>
    <w:rsid w:val="004F6E0F"/>
    <w:rsid w:val="00541DBF"/>
    <w:rsid w:val="005622C5"/>
    <w:rsid w:val="005A0CBD"/>
    <w:rsid w:val="005B332D"/>
    <w:rsid w:val="005F6D19"/>
    <w:rsid w:val="00606645"/>
    <w:rsid w:val="00613B5B"/>
    <w:rsid w:val="00621431"/>
    <w:rsid w:val="006832D2"/>
    <w:rsid w:val="006B156E"/>
    <w:rsid w:val="006C6A54"/>
    <w:rsid w:val="006D1174"/>
    <w:rsid w:val="007243E5"/>
    <w:rsid w:val="007264A7"/>
    <w:rsid w:val="00751781"/>
    <w:rsid w:val="00792C12"/>
    <w:rsid w:val="007A4414"/>
    <w:rsid w:val="007E4A14"/>
    <w:rsid w:val="00832C57"/>
    <w:rsid w:val="00841A7E"/>
    <w:rsid w:val="008639C3"/>
    <w:rsid w:val="0087380F"/>
    <w:rsid w:val="008750B2"/>
    <w:rsid w:val="008F1796"/>
    <w:rsid w:val="00901A7F"/>
    <w:rsid w:val="00915445"/>
    <w:rsid w:val="0095571D"/>
    <w:rsid w:val="00957993"/>
    <w:rsid w:val="009721E4"/>
    <w:rsid w:val="0098061F"/>
    <w:rsid w:val="009B57FF"/>
    <w:rsid w:val="009C17F6"/>
    <w:rsid w:val="009E3BDD"/>
    <w:rsid w:val="009F3E94"/>
    <w:rsid w:val="00A17A32"/>
    <w:rsid w:val="00A449EA"/>
    <w:rsid w:val="00A64D00"/>
    <w:rsid w:val="00AF4110"/>
    <w:rsid w:val="00B0170B"/>
    <w:rsid w:val="00B0769C"/>
    <w:rsid w:val="00B1082F"/>
    <w:rsid w:val="00B63757"/>
    <w:rsid w:val="00B84A24"/>
    <w:rsid w:val="00C01B8C"/>
    <w:rsid w:val="00C03FF7"/>
    <w:rsid w:val="00C44C10"/>
    <w:rsid w:val="00C83D7E"/>
    <w:rsid w:val="00CA10B5"/>
    <w:rsid w:val="00CA1AA3"/>
    <w:rsid w:val="00CA2889"/>
    <w:rsid w:val="00CD4C7B"/>
    <w:rsid w:val="00CF06B6"/>
    <w:rsid w:val="00CF660D"/>
    <w:rsid w:val="00D14848"/>
    <w:rsid w:val="00D26FAA"/>
    <w:rsid w:val="00D47B01"/>
    <w:rsid w:val="00DC3089"/>
    <w:rsid w:val="00E24242"/>
    <w:rsid w:val="00E432F7"/>
    <w:rsid w:val="00E44B1D"/>
    <w:rsid w:val="00E54F8F"/>
    <w:rsid w:val="00E61D20"/>
    <w:rsid w:val="00E80055"/>
    <w:rsid w:val="00EA1238"/>
    <w:rsid w:val="00EC01B0"/>
    <w:rsid w:val="00ED3278"/>
    <w:rsid w:val="00F06075"/>
    <w:rsid w:val="00F15835"/>
    <w:rsid w:val="00F22916"/>
    <w:rsid w:val="00F40BA0"/>
    <w:rsid w:val="00F51C7B"/>
    <w:rsid w:val="00F73B36"/>
    <w:rsid w:val="00F766A0"/>
    <w:rsid w:val="00FA2AC1"/>
    <w:rsid w:val="00FB5F16"/>
    <w:rsid w:val="00FD0963"/>
    <w:rsid w:val="033835C5"/>
    <w:rsid w:val="041554E7"/>
    <w:rsid w:val="043E5A21"/>
    <w:rsid w:val="054349B2"/>
    <w:rsid w:val="05553232"/>
    <w:rsid w:val="059C4CEC"/>
    <w:rsid w:val="05FA04B5"/>
    <w:rsid w:val="077E7282"/>
    <w:rsid w:val="082B5D4C"/>
    <w:rsid w:val="086E3F88"/>
    <w:rsid w:val="0CAF1884"/>
    <w:rsid w:val="0EA622B2"/>
    <w:rsid w:val="1099027C"/>
    <w:rsid w:val="119B7881"/>
    <w:rsid w:val="12494EC1"/>
    <w:rsid w:val="126B3217"/>
    <w:rsid w:val="1534632A"/>
    <w:rsid w:val="15C34C76"/>
    <w:rsid w:val="1739483B"/>
    <w:rsid w:val="17783479"/>
    <w:rsid w:val="18B330A4"/>
    <w:rsid w:val="19CB4F4F"/>
    <w:rsid w:val="19ED7944"/>
    <w:rsid w:val="1C8B0D4A"/>
    <w:rsid w:val="1FD66EDA"/>
    <w:rsid w:val="1FF9718D"/>
    <w:rsid w:val="21E528FE"/>
    <w:rsid w:val="24446BEF"/>
    <w:rsid w:val="24C95BA6"/>
    <w:rsid w:val="25093983"/>
    <w:rsid w:val="255C37FB"/>
    <w:rsid w:val="255D4F4D"/>
    <w:rsid w:val="257944EB"/>
    <w:rsid w:val="273E5983"/>
    <w:rsid w:val="2AC86FEF"/>
    <w:rsid w:val="2ED60CC9"/>
    <w:rsid w:val="302007CF"/>
    <w:rsid w:val="30C9113B"/>
    <w:rsid w:val="317617CB"/>
    <w:rsid w:val="31CA628E"/>
    <w:rsid w:val="326E20D9"/>
    <w:rsid w:val="327A2A20"/>
    <w:rsid w:val="35634F9A"/>
    <w:rsid w:val="35B637C3"/>
    <w:rsid w:val="364944FB"/>
    <w:rsid w:val="38AF0395"/>
    <w:rsid w:val="3B202CC9"/>
    <w:rsid w:val="3D381641"/>
    <w:rsid w:val="3EF81A54"/>
    <w:rsid w:val="3EFC5C2C"/>
    <w:rsid w:val="3FA22D0E"/>
    <w:rsid w:val="429E645D"/>
    <w:rsid w:val="452403F0"/>
    <w:rsid w:val="4636055E"/>
    <w:rsid w:val="46667D6A"/>
    <w:rsid w:val="4AA361CC"/>
    <w:rsid w:val="4AA577B6"/>
    <w:rsid w:val="4DF04E21"/>
    <w:rsid w:val="4E1216B9"/>
    <w:rsid w:val="4EBE4E15"/>
    <w:rsid w:val="510312D5"/>
    <w:rsid w:val="5252669C"/>
    <w:rsid w:val="52A054C0"/>
    <w:rsid w:val="52D37E4D"/>
    <w:rsid w:val="53077268"/>
    <w:rsid w:val="54214779"/>
    <w:rsid w:val="55101B7A"/>
    <w:rsid w:val="573C3213"/>
    <w:rsid w:val="590113B4"/>
    <w:rsid w:val="590E55C8"/>
    <w:rsid w:val="59B41875"/>
    <w:rsid w:val="5A053928"/>
    <w:rsid w:val="5A660630"/>
    <w:rsid w:val="5EA81D3F"/>
    <w:rsid w:val="60B64216"/>
    <w:rsid w:val="60BC5B58"/>
    <w:rsid w:val="61706FBC"/>
    <w:rsid w:val="635B261A"/>
    <w:rsid w:val="656053D6"/>
    <w:rsid w:val="65640D13"/>
    <w:rsid w:val="65E32635"/>
    <w:rsid w:val="6643553D"/>
    <w:rsid w:val="670A6F51"/>
    <w:rsid w:val="677A0C98"/>
    <w:rsid w:val="6A6575CE"/>
    <w:rsid w:val="6B2521FD"/>
    <w:rsid w:val="6BFC005B"/>
    <w:rsid w:val="6F1D07E7"/>
    <w:rsid w:val="703021B7"/>
    <w:rsid w:val="728F406F"/>
    <w:rsid w:val="72D60383"/>
    <w:rsid w:val="7300726F"/>
    <w:rsid w:val="730F6C56"/>
    <w:rsid w:val="73434632"/>
    <w:rsid w:val="799B33D8"/>
    <w:rsid w:val="7C887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after="120"/>
      <w:contextualSpacing/>
      <w:outlineLvl w:val="0"/>
    </w:pPr>
    <w:rPr>
      <w:rFonts w:asciiTheme="majorHAnsi" w:hAnsiTheme="majorHAnsi"/>
      <w:color w:val="2E75B6" w:themeColor="accent1" w:themeShade="BF"/>
      <w:sz w:val="36"/>
      <w:szCs w:val="44"/>
    </w:rPr>
  </w:style>
  <w:style w:type="paragraph" w:styleId="3">
    <w:name w:val="heading 2"/>
    <w:basedOn w:val="1"/>
    <w:next w:val="1"/>
    <w:link w:val="4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
    <w:pPr>
      <w:outlineLvl w:val="2"/>
    </w:pPr>
    <w:rPr>
      <w:b/>
      <w:color w:val="404040" w:themeColor="text1" w:themeTint="BF"/>
      <w14:textFill>
        <w14:solidFill>
          <w14:schemeClr w14:val="tx1">
            <w14:lumMod w14:val="75000"/>
            <w14:lumOff w14:val="25000"/>
          </w14:schemeClr>
        </w14:solidFill>
      </w14:textFill>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sz w:val="20"/>
      <w:szCs w:val="20"/>
    </w:rPr>
  </w:style>
  <w:style w:type="paragraph" w:styleId="6">
    <w:name w:val="index 8"/>
    <w:basedOn w:val="1"/>
    <w:next w:val="1"/>
    <w:qFormat/>
    <w:uiPriority w:val="0"/>
    <w:pPr>
      <w:ind w:left="1680" w:hanging="210"/>
    </w:pPr>
  </w:style>
  <w:style w:type="paragraph" w:styleId="7">
    <w:name w:val="index 5"/>
    <w:basedOn w:val="1"/>
    <w:next w:val="1"/>
    <w:qFormat/>
    <w:uiPriority w:val="0"/>
    <w:pPr>
      <w:ind w:left="1050" w:hanging="210"/>
    </w:pPr>
  </w:style>
  <w:style w:type="paragraph" w:styleId="8">
    <w:name w:val="index 6"/>
    <w:basedOn w:val="1"/>
    <w:next w:val="1"/>
    <w:qFormat/>
    <w:uiPriority w:val="0"/>
    <w:pPr>
      <w:ind w:left="1260" w:hanging="210"/>
    </w:pPr>
  </w:style>
  <w:style w:type="paragraph" w:styleId="9">
    <w:name w:val="index 4"/>
    <w:basedOn w:val="1"/>
    <w:next w:val="1"/>
    <w:qFormat/>
    <w:uiPriority w:val="0"/>
    <w:pPr>
      <w:ind w:left="840" w:hanging="210"/>
    </w:pPr>
  </w:style>
  <w:style w:type="paragraph" w:styleId="10">
    <w:name w:val="toc 5"/>
    <w:basedOn w:val="1"/>
    <w:next w:val="1"/>
    <w:qFormat/>
    <w:uiPriority w:val="0"/>
    <w:pPr>
      <w:ind w:left="840"/>
      <w:jc w:val="left"/>
    </w:pPr>
    <w:rPr>
      <w:sz w:val="20"/>
      <w:szCs w:val="20"/>
    </w:rPr>
  </w:style>
  <w:style w:type="paragraph" w:styleId="11">
    <w:name w:val="toc 3"/>
    <w:basedOn w:val="1"/>
    <w:next w:val="1"/>
    <w:unhideWhenUsed/>
    <w:qFormat/>
    <w:uiPriority w:val="39"/>
    <w:pPr>
      <w:ind w:left="420"/>
      <w:jc w:val="left"/>
    </w:pPr>
    <w:rPr>
      <w:sz w:val="20"/>
      <w:szCs w:val="20"/>
    </w:rPr>
  </w:style>
  <w:style w:type="paragraph" w:styleId="12">
    <w:name w:val="toc 8"/>
    <w:basedOn w:val="1"/>
    <w:next w:val="1"/>
    <w:qFormat/>
    <w:uiPriority w:val="0"/>
    <w:pPr>
      <w:ind w:left="1470"/>
      <w:jc w:val="left"/>
    </w:pPr>
    <w:rPr>
      <w:sz w:val="20"/>
      <w:szCs w:val="20"/>
    </w:rPr>
  </w:style>
  <w:style w:type="paragraph" w:styleId="13">
    <w:name w:val="index 3"/>
    <w:basedOn w:val="1"/>
    <w:next w:val="1"/>
    <w:qFormat/>
    <w:uiPriority w:val="0"/>
    <w:pPr>
      <w:ind w:left="630" w:hanging="210"/>
    </w:pPr>
  </w:style>
  <w:style w:type="paragraph" w:styleId="14">
    <w:name w:val="Balloon Text"/>
    <w:basedOn w:val="1"/>
    <w:link w:val="44"/>
    <w:qFormat/>
    <w:uiPriority w:val="0"/>
    <w:rPr>
      <w:sz w:val="18"/>
      <w:szCs w:val="18"/>
    </w:rPr>
  </w:style>
  <w:style w:type="paragraph" w:styleId="15">
    <w:name w:val="footer"/>
    <w:basedOn w:val="1"/>
    <w:link w:val="42"/>
    <w:qFormat/>
    <w:uiPriority w:val="0"/>
    <w:pPr>
      <w:tabs>
        <w:tab w:val="center" w:pos="4153"/>
        <w:tab w:val="right" w:pos="8306"/>
      </w:tabs>
      <w:snapToGrid w:val="0"/>
      <w:jc w:val="left"/>
    </w:pPr>
    <w:rPr>
      <w:sz w:val="18"/>
      <w:szCs w:val="18"/>
    </w:rPr>
  </w:style>
  <w:style w:type="paragraph" w:styleId="16">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jc w:val="left"/>
    </w:pPr>
    <w:rPr>
      <w:b/>
      <w:bCs/>
      <w:i/>
      <w:iCs/>
      <w:sz w:val="24"/>
    </w:rPr>
  </w:style>
  <w:style w:type="paragraph" w:styleId="18">
    <w:name w:val="toc 4"/>
    <w:basedOn w:val="1"/>
    <w:next w:val="1"/>
    <w:qFormat/>
    <w:uiPriority w:val="0"/>
    <w:pPr>
      <w:ind w:left="630"/>
      <w:jc w:val="left"/>
    </w:pPr>
    <w:rPr>
      <w:sz w:val="20"/>
      <w:szCs w:val="20"/>
    </w:rPr>
  </w:style>
  <w:style w:type="paragraph" w:styleId="19">
    <w:name w:val="index heading"/>
    <w:basedOn w:val="1"/>
    <w:next w:val="20"/>
    <w:qFormat/>
    <w:uiPriority w:val="0"/>
  </w:style>
  <w:style w:type="paragraph" w:styleId="20">
    <w:name w:val="index 1"/>
    <w:basedOn w:val="1"/>
    <w:next w:val="1"/>
    <w:qFormat/>
    <w:uiPriority w:val="0"/>
    <w:pPr>
      <w:ind w:left="210" w:hanging="210"/>
    </w:pPr>
  </w:style>
  <w:style w:type="paragraph" w:styleId="21">
    <w:name w:val="toc 6"/>
    <w:basedOn w:val="1"/>
    <w:next w:val="1"/>
    <w:qFormat/>
    <w:uiPriority w:val="0"/>
    <w:pPr>
      <w:ind w:left="1050"/>
      <w:jc w:val="left"/>
    </w:pPr>
    <w:rPr>
      <w:sz w:val="20"/>
      <w:szCs w:val="20"/>
    </w:rPr>
  </w:style>
  <w:style w:type="paragraph" w:styleId="22">
    <w:name w:val="index 7"/>
    <w:basedOn w:val="1"/>
    <w:next w:val="1"/>
    <w:qFormat/>
    <w:uiPriority w:val="0"/>
    <w:pPr>
      <w:ind w:left="1470" w:hanging="210"/>
    </w:pPr>
  </w:style>
  <w:style w:type="paragraph" w:styleId="23">
    <w:name w:val="index 9"/>
    <w:basedOn w:val="1"/>
    <w:next w:val="1"/>
    <w:qFormat/>
    <w:uiPriority w:val="0"/>
    <w:pPr>
      <w:ind w:left="1890" w:hanging="210"/>
    </w:pPr>
  </w:style>
  <w:style w:type="paragraph" w:styleId="24">
    <w:name w:val="table of figures"/>
    <w:basedOn w:val="1"/>
    <w:next w:val="1"/>
    <w:qFormat/>
    <w:uiPriority w:val="0"/>
    <w:pPr>
      <w:ind w:left="420" w:hanging="420"/>
    </w:pPr>
  </w:style>
  <w:style w:type="paragraph" w:styleId="25">
    <w:name w:val="toc 2"/>
    <w:basedOn w:val="1"/>
    <w:next w:val="1"/>
    <w:unhideWhenUsed/>
    <w:qFormat/>
    <w:uiPriority w:val="39"/>
    <w:pPr>
      <w:spacing w:before="120"/>
      <w:ind w:left="210"/>
      <w:jc w:val="left"/>
    </w:pPr>
    <w:rPr>
      <w:b/>
      <w:bCs/>
      <w:sz w:val="22"/>
      <w:szCs w:val="22"/>
    </w:rPr>
  </w:style>
  <w:style w:type="paragraph" w:styleId="26">
    <w:name w:val="toc 9"/>
    <w:basedOn w:val="1"/>
    <w:next w:val="1"/>
    <w:qFormat/>
    <w:uiPriority w:val="0"/>
    <w:pPr>
      <w:ind w:left="1680"/>
      <w:jc w:val="left"/>
    </w:pPr>
    <w:rPr>
      <w:sz w:val="20"/>
      <w:szCs w:val="20"/>
    </w:rPr>
  </w:style>
  <w:style w:type="paragraph" w:styleId="2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8">
    <w:name w:val="index 2"/>
    <w:basedOn w:val="1"/>
    <w:next w:val="1"/>
    <w:qFormat/>
    <w:uiPriority w:val="0"/>
    <w:pPr>
      <w:ind w:left="420" w:hanging="210"/>
    </w:pPr>
  </w:style>
  <w:style w:type="paragraph" w:styleId="29">
    <w:name w:val="Title"/>
    <w:basedOn w:val="1"/>
    <w:next w:val="1"/>
    <w:link w:val="40"/>
    <w:qFormat/>
    <w:uiPriority w:val="0"/>
    <w:pPr>
      <w:spacing w:before="240" w:after="60"/>
      <w:jc w:val="center"/>
      <w:outlineLvl w:val="0"/>
    </w:pPr>
    <w:rPr>
      <w:rFonts w:asciiTheme="majorHAnsi" w:hAnsiTheme="majorHAnsi" w:eastAsiaTheme="majorEastAsia" w:cstheme="majorBidi"/>
      <w:b/>
      <w:bCs/>
      <w:sz w:val="32"/>
      <w:szCs w:val="32"/>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basedOn w:val="32"/>
    <w:qFormat/>
    <w:uiPriority w:val="0"/>
  </w:style>
  <w:style w:type="character" w:styleId="35">
    <w:name w:val="FollowedHyperlink"/>
    <w:basedOn w:val="32"/>
    <w:qFormat/>
    <w:uiPriority w:val="0"/>
    <w:rPr>
      <w:color w:val="800080"/>
      <w:u w:val="none"/>
    </w:rPr>
  </w:style>
  <w:style w:type="character" w:styleId="36">
    <w:name w:val="Hyperlink"/>
    <w:basedOn w:val="32"/>
    <w:qFormat/>
    <w:uiPriority w:val="99"/>
    <w:rPr>
      <w:color w:val="0000FF"/>
      <w:u w:val="single"/>
    </w:rPr>
  </w:style>
  <w:style w:type="character" w:customStyle="1" w:styleId="37">
    <w:name w:val="apple-converted-space"/>
    <w:basedOn w:val="32"/>
    <w:qFormat/>
    <w:uiPriority w:val="0"/>
  </w:style>
  <w:style w:type="paragraph" w:customStyle="1" w:styleId="38">
    <w:name w:val="TOC Heading"/>
    <w:basedOn w:val="2"/>
    <w:next w:val="1"/>
    <w:unhideWhenUsed/>
    <w:qFormat/>
    <w:uiPriority w:val="39"/>
    <w:pPr>
      <w:keepNext/>
      <w:keepLines/>
      <w:widowControl/>
      <w:spacing w:before="480" w:after="0" w:line="276" w:lineRule="auto"/>
      <w:contextualSpacing w:val="0"/>
      <w:jc w:val="left"/>
      <w:outlineLvl w:val="9"/>
    </w:pPr>
    <w:rPr>
      <w:rFonts w:eastAsiaTheme="majorEastAsia" w:cstheme="majorBidi"/>
      <w:b/>
      <w:bCs/>
      <w:kern w:val="0"/>
      <w:sz w:val="28"/>
      <w:szCs w:val="28"/>
    </w:rPr>
  </w:style>
  <w:style w:type="paragraph" w:styleId="39">
    <w:name w:val="List Paragraph"/>
    <w:basedOn w:val="1"/>
    <w:qFormat/>
    <w:uiPriority w:val="99"/>
    <w:pPr>
      <w:ind w:firstLine="420" w:firstLineChars="200"/>
    </w:pPr>
  </w:style>
  <w:style w:type="character" w:customStyle="1" w:styleId="40">
    <w:name w:val="标题 字符"/>
    <w:basedOn w:val="32"/>
    <w:link w:val="29"/>
    <w:qFormat/>
    <w:uiPriority w:val="0"/>
    <w:rPr>
      <w:rFonts w:asciiTheme="majorHAnsi" w:hAnsiTheme="majorHAnsi" w:eastAsiaTheme="majorEastAsia" w:cstheme="majorBidi"/>
      <w:b/>
      <w:bCs/>
      <w:kern w:val="2"/>
      <w:sz w:val="32"/>
      <w:szCs w:val="32"/>
    </w:rPr>
  </w:style>
  <w:style w:type="character" w:customStyle="1" w:styleId="41">
    <w:name w:val="标题 2 字符"/>
    <w:basedOn w:val="32"/>
    <w:link w:val="3"/>
    <w:qFormat/>
    <w:uiPriority w:val="0"/>
    <w:rPr>
      <w:rFonts w:asciiTheme="majorHAnsi" w:hAnsiTheme="majorHAnsi" w:eastAsiaTheme="majorEastAsia" w:cstheme="majorBidi"/>
      <w:b/>
      <w:bCs/>
      <w:kern w:val="2"/>
      <w:sz w:val="32"/>
      <w:szCs w:val="32"/>
    </w:rPr>
  </w:style>
  <w:style w:type="character" w:customStyle="1" w:styleId="42">
    <w:name w:val="页脚 字符"/>
    <w:basedOn w:val="32"/>
    <w:link w:val="15"/>
    <w:qFormat/>
    <w:uiPriority w:val="0"/>
    <w:rPr>
      <w:rFonts w:asciiTheme="minorHAnsi" w:hAnsiTheme="minorHAnsi" w:eastAsiaTheme="minorEastAsia" w:cstheme="minorBidi"/>
      <w:kern w:val="2"/>
      <w:sz w:val="18"/>
      <w:szCs w:val="18"/>
    </w:rPr>
  </w:style>
  <w:style w:type="character" w:customStyle="1" w:styleId="43">
    <w:name w:val="页眉 字符"/>
    <w:basedOn w:val="32"/>
    <w:link w:val="16"/>
    <w:qFormat/>
    <w:uiPriority w:val="0"/>
    <w:rPr>
      <w:rFonts w:asciiTheme="minorHAnsi" w:hAnsiTheme="minorHAnsi" w:eastAsiaTheme="minorEastAsia" w:cstheme="minorBidi"/>
      <w:kern w:val="2"/>
      <w:sz w:val="18"/>
      <w:szCs w:val="18"/>
    </w:rPr>
  </w:style>
  <w:style w:type="character" w:customStyle="1" w:styleId="44">
    <w:name w:val="批注框文本 字符"/>
    <w:basedOn w:val="32"/>
    <w:link w:val="1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80963F-0D25-4811-A3EC-11BF1E3189B1}">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14286</Words>
  <Characters>16462</Characters>
  <Lines>243</Lines>
  <Paragraphs>68</Paragraphs>
  <TotalTime>1</TotalTime>
  <ScaleCrop>false</ScaleCrop>
  <LinksUpToDate>false</LinksUpToDate>
  <CharactersWithSpaces>17855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2021-03-01T00:18:00Z</dcterms:created>
  <dc:creator>不慌不忙</dc:creator>
  <cp:lastModifiedBy>SONG</cp:lastModifiedBy>
  <cp:lastPrinted>2021-03-03T00:21:00Z</cp:lastPrinted>
  <dcterms:modified xsi:type="dcterms:W3CDTF">2022-08-30T01:29:22Z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E004391C8A174D3BBCA381DA6ED9BA48</vt:lpwstr>
  </property>
</Properties>
</file>