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306"/>
        </w:tabs>
        <w:jc w:val="cente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instrText xml:space="preserve"> HYPERLINK "https://icd.ncepu.edu.cn/docs//2022-02/7de895fc6c0e419abbae348204813c20.docx" </w:instrText>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separate"/>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202</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4</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-20</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25</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学年</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春季学期</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本科生交流项目目录</w:t>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end"/>
      </w:r>
    </w:p>
    <w:p>
      <w:pP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p>
    <w:p>
      <w:pP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p>
    <w:p>
      <w:pPr>
        <w:pStyle w:val="17"/>
        <w:tabs>
          <w:tab w:val="right" w:leader="middleDot" w:pos="8306"/>
        </w:tabs>
        <w:rPr>
          <w:color w:val="auto"/>
        </w:rPr>
      </w:pPr>
      <w:r>
        <w:rPr>
          <w:rFonts w:ascii="楷体" w:hAnsi="楷体" w:eastAsia="楷体"/>
          <w:sz w:val="28"/>
          <w:szCs w:val="28"/>
        </w:rPr>
        <w:fldChar w:fldCharType="begin"/>
      </w:r>
      <w:r>
        <w:rPr>
          <w:rFonts w:ascii="楷体" w:hAnsi="楷体" w:eastAsia="楷体"/>
          <w:sz w:val="28"/>
          <w:szCs w:val="28"/>
        </w:rPr>
        <w:instrText xml:space="preserve"> </w:instrText>
      </w:r>
      <w:r>
        <w:rPr>
          <w:rFonts w:hint="eastAsia" w:ascii="楷体" w:hAnsi="楷体" w:eastAsia="楷体"/>
          <w:sz w:val="28"/>
          <w:szCs w:val="28"/>
        </w:rPr>
        <w:instrText xml:space="preserve">TOC \o "1-3" \h \z \u</w:instrText>
      </w:r>
      <w:r>
        <w:rPr>
          <w:rFonts w:ascii="楷体" w:hAnsi="楷体" w:eastAsia="楷体"/>
          <w:sz w:val="28"/>
          <w:szCs w:val="28"/>
        </w:rPr>
        <w:instrText xml:space="preserve"> </w:instrText>
      </w:r>
      <w:r>
        <w:rPr>
          <w:rFonts w:ascii="楷体" w:hAnsi="楷体" w:eastAsia="楷体"/>
          <w:sz w:val="28"/>
          <w:szCs w:val="28"/>
        </w:rPr>
        <w:fldChar w:fldCharType="separate"/>
      </w:r>
      <w:r>
        <w:rPr>
          <w:rFonts w:ascii="楷体" w:hAnsi="楷体" w:eastAsia="楷体"/>
          <w:color w:val="auto"/>
          <w:szCs w:val="28"/>
        </w:rPr>
        <w:fldChar w:fldCharType="begin"/>
      </w:r>
      <w:r>
        <w:rPr>
          <w:rFonts w:ascii="楷体" w:hAnsi="楷体" w:eastAsia="楷体"/>
          <w:color w:val="auto"/>
          <w:szCs w:val="28"/>
        </w:rPr>
        <w:instrText xml:space="preserve"> HYPERLINK \l _Toc24077 </w:instrText>
      </w:r>
      <w:r>
        <w:rPr>
          <w:rFonts w:ascii="楷体" w:hAnsi="楷体" w:eastAsia="楷体"/>
          <w:color w:val="auto"/>
          <w:szCs w:val="28"/>
        </w:rPr>
        <w:fldChar w:fldCharType="separate"/>
      </w:r>
      <w:r>
        <w:rPr>
          <w:rFonts w:hint="eastAsia"/>
          <w:color w:val="auto"/>
        </w:rPr>
        <w:t>免学费项目</w:t>
      </w:r>
      <w:r>
        <w:rPr>
          <w:color w:val="auto"/>
        </w:rPr>
        <w:tab/>
      </w:r>
      <w:r>
        <w:rPr>
          <w:color w:val="auto"/>
        </w:rPr>
        <w:fldChar w:fldCharType="begin"/>
      </w:r>
      <w:r>
        <w:rPr>
          <w:color w:val="auto"/>
        </w:rPr>
        <w:instrText xml:space="preserve"> PAGEREF _Toc24077 \h </w:instrText>
      </w:r>
      <w:r>
        <w:rPr>
          <w:color w:val="auto"/>
        </w:rPr>
        <w:fldChar w:fldCharType="separate"/>
      </w:r>
      <w:r>
        <w:rPr>
          <w:color w:val="auto"/>
        </w:rPr>
        <w:t>2</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_Toc25586 </w:instrText>
      </w:r>
      <w:r>
        <w:rPr>
          <w:rFonts w:ascii="楷体" w:hAnsi="楷体" w:eastAsia="楷体"/>
          <w:color w:val="auto"/>
          <w:szCs w:val="28"/>
        </w:rPr>
        <w:fldChar w:fldCharType="separate"/>
      </w:r>
      <w:r>
        <w:rPr>
          <w:rFonts w:hint="eastAsia" w:ascii="仿宋" w:hAnsi="仿宋" w:eastAsia="仿宋"/>
          <w:color w:val="auto"/>
          <w:szCs w:val="36"/>
        </w:rPr>
        <w:t>德国柏林自由大学</w:t>
      </w:r>
      <w:r>
        <w:rPr>
          <w:color w:val="auto"/>
        </w:rPr>
        <w:tab/>
      </w:r>
      <w:r>
        <w:rPr>
          <w:color w:val="auto"/>
        </w:rPr>
        <w:fldChar w:fldCharType="begin"/>
      </w:r>
      <w:r>
        <w:rPr>
          <w:color w:val="auto"/>
        </w:rPr>
        <w:instrText xml:space="preserve"> PAGEREF _Toc25586 \h </w:instrText>
      </w:r>
      <w:r>
        <w:rPr>
          <w:color w:val="auto"/>
        </w:rPr>
        <w:fldChar w:fldCharType="separate"/>
      </w:r>
      <w:r>
        <w:rPr>
          <w:color w:val="auto"/>
        </w:rPr>
        <w:t>2</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_Toc8617 </w:instrText>
      </w:r>
      <w:r>
        <w:rPr>
          <w:rFonts w:ascii="楷体" w:hAnsi="楷体" w:eastAsia="楷体"/>
          <w:color w:val="auto"/>
          <w:szCs w:val="28"/>
        </w:rPr>
        <w:fldChar w:fldCharType="separate"/>
      </w:r>
      <w:r>
        <w:rPr>
          <w:rFonts w:hint="eastAsia" w:ascii="仿宋" w:hAnsi="仿宋" w:eastAsia="仿宋"/>
          <w:color w:val="auto"/>
          <w:szCs w:val="36"/>
        </w:rPr>
        <w:t>德国勃兰登堡工业大学</w:t>
      </w:r>
      <w:r>
        <w:rPr>
          <w:color w:val="auto"/>
        </w:rPr>
        <w:tab/>
      </w:r>
      <w:r>
        <w:rPr>
          <w:color w:val="auto"/>
        </w:rPr>
        <w:fldChar w:fldCharType="begin"/>
      </w:r>
      <w:r>
        <w:rPr>
          <w:color w:val="auto"/>
        </w:rPr>
        <w:instrText xml:space="preserve"> PAGEREF _Toc8617 \h </w:instrText>
      </w:r>
      <w:r>
        <w:rPr>
          <w:color w:val="auto"/>
        </w:rPr>
        <w:fldChar w:fldCharType="separate"/>
      </w:r>
      <w:r>
        <w:rPr>
          <w:color w:val="auto"/>
        </w:rPr>
        <w:t>3</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_Toc16765 </w:instrText>
      </w:r>
      <w:r>
        <w:rPr>
          <w:rFonts w:ascii="楷体" w:hAnsi="楷体" w:eastAsia="楷体"/>
          <w:color w:val="auto"/>
          <w:szCs w:val="28"/>
        </w:rPr>
        <w:fldChar w:fldCharType="separate"/>
      </w:r>
      <w:r>
        <w:rPr>
          <w:rFonts w:hint="eastAsia" w:ascii="仿宋" w:hAnsi="仿宋" w:eastAsia="仿宋"/>
          <w:color w:val="auto"/>
          <w:szCs w:val="36"/>
        </w:rPr>
        <w:t>巴西坎皮纳斯大学</w:t>
      </w:r>
      <w:r>
        <w:rPr>
          <w:color w:val="auto"/>
        </w:rPr>
        <w:tab/>
      </w:r>
      <w:r>
        <w:rPr>
          <w:color w:val="auto"/>
        </w:rPr>
        <w:fldChar w:fldCharType="begin"/>
      </w:r>
      <w:r>
        <w:rPr>
          <w:color w:val="auto"/>
        </w:rPr>
        <w:instrText xml:space="preserve"> PAGEREF _Toc16765 \h </w:instrText>
      </w:r>
      <w:r>
        <w:rPr>
          <w:color w:val="auto"/>
        </w:rPr>
        <w:fldChar w:fldCharType="separate"/>
      </w:r>
      <w:r>
        <w:rPr>
          <w:color w:val="auto"/>
        </w:rPr>
        <w:t>4</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_Toc16778 </w:instrText>
      </w:r>
      <w:r>
        <w:rPr>
          <w:rFonts w:ascii="楷体" w:hAnsi="楷体" w:eastAsia="楷体"/>
          <w:color w:val="auto"/>
          <w:szCs w:val="28"/>
        </w:rPr>
        <w:fldChar w:fldCharType="separate"/>
      </w:r>
      <w:r>
        <w:rPr>
          <w:rFonts w:hint="eastAsia" w:ascii="仿宋" w:hAnsi="仿宋" w:eastAsia="仿宋"/>
          <w:color w:val="auto"/>
          <w:szCs w:val="36"/>
        </w:rPr>
        <w:t>西班牙马德里理工大学</w:t>
      </w:r>
      <w:r>
        <w:rPr>
          <w:color w:val="auto"/>
        </w:rPr>
        <w:tab/>
      </w:r>
      <w:r>
        <w:rPr>
          <w:color w:val="auto"/>
        </w:rPr>
        <w:fldChar w:fldCharType="begin"/>
      </w:r>
      <w:r>
        <w:rPr>
          <w:color w:val="auto"/>
        </w:rPr>
        <w:instrText xml:space="preserve"> PAGEREF _Toc16778 \h </w:instrText>
      </w:r>
      <w:r>
        <w:rPr>
          <w:color w:val="auto"/>
        </w:rPr>
        <w:fldChar w:fldCharType="separate"/>
      </w:r>
      <w:r>
        <w:rPr>
          <w:color w:val="auto"/>
        </w:rPr>
        <w:t>5</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_Toc9080 </w:instrText>
      </w:r>
      <w:r>
        <w:rPr>
          <w:rFonts w:ascii="楷体" w:hAnsi="楷体" w:eastAsia="楷体"/>
          <w:color w:val="auto"/>
          <w:szCs w:val="28"/>
        </w:rPr>
        <w:fldChar w:fldCharType="separate"/>
      </w:r>
      <w:r>
        <w:rPr>
          <w:rFonts w:hint="eastAsia" w:ascii="仿宋" w:hAnsi="仿宋" w:eastAsia="仿宋"/>
          <w:color w:val="auto"/>
          <w:szCs w:val="36"/>
        </w:rPr>
        <w:t>波兰弗罗茨瓦夫理工大学</w:t>
      </w:r>
      <w:r>
        <w:rPr>
          <w:color w:val="auto"/>
        </w:rPr>
        <w:tab/>
      </w:r>
      <w:r>
        <w:rPr>
          <w:color w:val="auto"/>
        </w:rPr>
        <w:fldChar w:fldCharType="begin"/>
      </w:r>
      <w:r>
        <w:rPr>
          <w:color w:val="auto"/>
        </w:rPr>
        <w:instrText xml:space="preserve"> PAGEREF _Toc9080 \h </w:instrText>
      </w:r>
      <w:r>
        <w:rPr>
          <w:color w:val="auto"/>
        </w:rPr>
        <w:fldChar w:fldCharType="separate"/>
      </w:r>
      <w:r>
        <w:rPr>
          <w:color w:val="auto"/>
        </w:rPr>
        <w:t>6</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_Toc5467 </w:instrText>
      </w:r>
      <w:r>
        <w:rPr>
          <w:rFonts w:ascii="楷体" w:hAnsi="楷体" w:eastAsia="楷体"/>
          <w:color w:val="auto"/>
          <w:szCs w:val="28"/>
        </w:rPr>
        <w:fldChar w:fldCharType="separate"/>
      </w:r>
      <w:r>
        <w:rPr>
          <w:rFonts w:hint="eastAsia" w:ascii="仿宋" w:hAnsi="仿宋" w:eastAsia="仿宋"/>
          <w:color w:val="auto"/>
          <w:szCs w:val="36"/>
        </w:rPr>
        <w:t>克罗地亚萨格勒布大学</w:t>
      </w:r>
      <w:r>
        <w:rPr>
          <w:color w:val="auto"/>
        </w:rPr>
        <w:tab/>
      </w:r>
      <w:r>
        <w:rPr>
          <w:color w:val="auto"/>
        </w:rPr>
        <w:fldChar w:fldCharType="begin"/>
      </w:r>
      <w:r>
        <w:rPr>
          <w:color w:val="auto"/>
        </w:rPr>
        <w:instrText xml:space="preserve"> PAGEREF _Toc5467 \h </w:instrText>
      </w:r>
      <w:r>
        <w:rPr>
          <w:color w:val="auto"/>
        </w:rPr>
        <w:fldChar w:fldCharType="separate"/>
      </w:r>
      <w:r>
        <w:rPr>
          <w:color w:val="auto"/>
        </w:rPr>
        <w:t>7</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_Toc32478 </w:instrText>
      </w:r>
      <w:r>
        <w:rPr>
          <w:rFonts w:ascii="楷体" w:hAnsi="楷体" w:eastAsia="楷体"/>
          <w:color w:val="auto"/>
          <w:szCs w:val="28"/>
        </w:rPr>
        <w:fldChar w:fldCharType="separate"/>
      </w:r>
      <w:r>
        <w:rPr>
          <w:rFonts w:hint="eastAsia" w:ascii="仿宋" w:hAnsi="仿宋" w:eastAsia="仿宋"/>
          <w:color w:val="auto"/>
          <w:szCs w:val="36"/>
          <w:lang w:val="en-US" w:eastAsia="zh-CN"/>
        </w:rPr>
        <w:t>俄罗斯乌拉尔国立经济</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_Toc32478 \h </w:instrText>
      </w:r>
      <w:r>
        <w:rPr>
          <w:color w:val="auto"/>
        </w:rPr>
        <w:fldChar w:fldCharType="separate"/>
      </w:r>
      <w:r>
        <w:rPr>
          <w:color w:val="auto"/>
        </w:rPr>
        <w:t>8</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_Toc12864 </w:instrText>
      </w:r>
      <w:r>
        <w:rPr>
          <w:rFonts w:ascii="楷体" w:hAnsi="楷体" w:eastAsia="楷体"/>
          <w:color w:val="auto"/>
          <w:szCs w:val="28"/>
        </w:rPr>
        <w:fldChar w:fldCharType="separate"/>
      </w:r>
      <w:r>
        <w:rPr>
          <w:rFonts w:hint="eastAsia" w:ascii="仿宋" w:hAnsi="仿宋" w:eastAsia="仿宋"/>
          <w:color w:val="auto"/>
          <w:szCs w:val="36"/>
        </w:rPr>
        <w:t>韩国首尔市立大学</w:t>
      </w:r>
      <w:r>
        <w:rPr>
          <w:color w:val="auto"/>
        </w:rPr>
        <w:tab/>
      </w:r>
      <w:r>
        <w:rPr>
          <w:color w:val="auto"/>
        </w:rPr>
        <w:fldChar w:fldCharType="begin"/>
      </w:r>
      <w:r>
        <w:rPr>
          <w:color w:val="auto"/>
        </w:rPr>
        <w:instrText xml:space="preserve"> PAGEREF _Toc12864 \h </w:instrText>
      </w:r>
      <w:r>
        <w:rPr>
          <w:color w:val="auto"/>
        </w:rPr>
        <w:fldChar w:fldCharType="separate"/>
      </w:r>
      <w:r>
        <w:rPr>
          <w:color w:val="auto"/>
        </w:rPr>
        <w:t>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_Toc11 </w:instrText>
      </w:r>
      <w:r>
        <w:rPr>
          <w:rFonts w:ascii="楷体" w:hAnsi="楷体" w:eastAsia="楷体"/>
          <w:color w:val="auto"/>
          <w:szCs w:val="28"/>
        </w:rPr>
        <w:fldChar w:fldCharType="separate"/>
      </w:r>
      <w:r>
        <w:rPr>
          <w:rFonts w:hint="eastAsia" w:ascii="仿宋" w:hAnsi="仿宋" w:eastAsia="仿宋"/>
          <w:color w:val="auto"/>
          <w:szCs w:val="36"/>
        </w:rPr>
        <w:t>韩国庆北大学</w:t>
      </w:r>
      <w:r>
        <w:rPr>
          <w:color w:val="auto"/>
        </w:rPr>
        <w:tab/>
      </w:r>
      <w:r>
        <w:rPr>
          <w:color w:val="auto"/>
        </w:rPr>
        <w:fldChar w:fldCharType="begin"/>
      </w:r>
      <w:r>
        <w:rPr>
          <w:color w:val="auto"/>
        </w:rPr>
        <w:instrText xml:space="preserve"> PAGEREF _Toc11 \h </w:instrText>
      </w:r>
      <w:r>
        <w:rPr>
          <w:color w:val="auto"/>
        </w:rPr>
        <w:fldChar w:fldCharType="separate"/>
      </w:r>
      <w:r>
        <w:rPr>
          <w:color w:val="auto"/>
        </w:rPr>
        <w:t>11</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_Toc30660 </w:instrText>
      </w:r>
      <w:r>
        <w:rPr>
          <w:rFonts w:ascii="楷体" w:hAnsi="楷体" w:eastAsia="楷体"/>
          <w:color w:val="auto"/>
          <w:szCs w:val="28"/>
        </w:rPr>
        <w:fldChar w:fldCharType="separate"/>
      </w:r>
      <w:r>
        <w:rPr>
          <w:rFonts w:hint="eastAsia" w:ascii="仿宋" w:hAnsi="仿宋" w:eastAsia="仿宋"/>
          <w:color w:val="auto"/>
          <w:szCs w:val="36"/>
        </w:rPr>
        <w:t>韩国淑明女子大学</w:t>
      </w:r>
      <w:r>
        <w:rPr>
          <w:color w:val="auto"/>
        </w:rPr>
        <w:tab/>
      </w:r>
      <w:r>
        <w:rPr>
          <w:color w:val="auto"/>
        </w:rPr>
        <w:fldChar w:fldCharType="begin"/>
      </w:r>
      <w:r>
        <w:rPr>
          <w:color w:val="auto"/>
        </w:rPr>
        <w:instrText xml:space="preserve"> PAGEREF _Toc30660 \h </w:instrText>
      </w:r>
      <w:r>
        <w:rPr>
          <w:color w:val="auto"/>
        </w:rPr>
        <w:fldChar w:fldCharType="separate"/>
      </w:r>
      <w:r>
        <w:rPr>
          <w:color w:val="auto"/>
        </w:rPr>
        <w:t>12</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_Toc25207 </w:instrText>
      </w:r>
      <w:r>
        <w:rPr>
          <w:rFonts w:ascii="楷体" w:hAnsi="楷体" w:eastAsia="楷体"/>
          <w:color w:val="auto"/>
          <w:szCs w:val="28"/>
        </w:rPr>
        <w:fldChar w:fldCharType="separate"/>
      </w:r>
      <w:r>
        <w:rPr>
          <w:rFonts w:hint="eastAsia" w:ascii="仿宋" w:hAnsi="仿宋" w:eastAsia="仿宋"/>
          <w:color w:val="auto"/>
          <w:szCs w:val="36"/>
        </w:rPr>
        <w:t>韩国祥明大学</w:t>
      </w:r>
      <w:r>
        <w:rPr>
          <w:color w:val="auto"/>
        </w:rPr>
        <w:tab/>
      </w:r>
      <w:r>
        <w:rPr>
          <w:color w:val="auto"/>
        </w:rPr>
        <w:fldChar w:fldCharType="begin"/>
      </w:r>
      <w:r>
        <w:rPr>
          <w:color w:val="auto"/>
        </w:rPr>
        <w:instrText xml:space="preserve"> PAGEREF _Toc25207 \h </w:instrText>
      </w:r>
      <w:r>
        <w:rPr>
          <w:color w:val="auto"/>
        </w:rPr>
        <w:fldChar w:fldCharType="separate"/>
      </w:r>
      <w:r>
        <w:rPr>
          <w:color w:val="auto"/>
        </w:rPr>
        <w:t>13</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_Toc3382 </w:instrText>
      </w:r>
      <w:r>
        <w:rPr>
          <w:rFonts w:ascii="楷体" w:hAnsi="楷体" w:eastAsia="楷体"/>
          <w:color w:val="auto"/>
          <w:szCs w:val="28"/>
        </w:rPr>
        <w:fldChar w:fldCharType="separate"/>
      </w:r>
      <w:r>
        <w:rPr>
          <w:rFonts w:hint="eastAsia" w:ascii="仿宋" w:hAnsi="仿宋" w:eastAsia="仿宋"/>
          <w:color w:val="auto"/>
          <w:szCs w:val="36"/>
          <w:highlight w:val="none"/>
        </w:rPr>
        <w:t>韩国光云大学</w:t>
      </w:r>
      <w:r>
        <w:rPr>
          <w:color w:val="auto"/>
        </w:rPr>
        <w:tab/>
      </w:r>
      <w:r>
        <w:rPr>
          <w:color w:val="auto"/>
        </w:rPr>
        <w:fldChar w:fldCharType="begin"/>
      </w:r>
      <w:r>
        <w:rPr>
          <w:color w:val="auto"/>
        </w:rPr>
        <w:instrText xml:space="preserve"> PAGEREF _Toc3382 \h </w:instrText>
      </w:r>
      <w:r>
        <w:rPr>
          <w:color w:val="auto"/>
        </w:rPr>
        <w:fldChar w:fldCharType="separate"/>
      </w:r>
      <w:r>
        <w:rPr>
          <w:color w:val="auto"/>
        </w:rPr>
        <w:t>14</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_Toc27426 </w:instrText>
      </w:r>
      <w:r>
        <w:rPr>
          <w:rFonts w:ascii="楷体" w:hAnsi="楷体" w:eastAsia="楷体"/>
          <w:color w:val="auto"/>
          <w:szCs w:val="28"/>
        </w:rPr>
        <w:fldChar w:fldCharType="separate"/>
      </w:r>
      <w:r>
        <w:rPr>
          <w:rFonts w:hint="eastAsia" w:ascii="仿宋" w:hAnsi="仿宋" w:eastAsia="仿宋"/>
          <w:color w:val="auto"/>
          <w:szCs w:val="36"/>
        </w:rPr>
        <w:t>韩国汉城大学</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15</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_Toc6868 </w:instrText>
      </w:r>
      <w:r>
        <w:rPr>
          <w:rFonts w:ascii="楷体" w:hAnsi="楷体" w:eastAsia="楷体"/>
          <w:color w:val="auto"/>
          <w:szCs w:val="28"/>
        </w:rPr>
        <w:fldChar w:fldCharType="separate"/>
      </w:r>
      <w:r>
        <w:rPr>
          <w:rFonts w:hint="eastAsia" w:ascii="仿宋" w:hAnsi="仿宋" w:eastAsia="仿宋"/>
          <w:color w:val="auto"/>
          <w:szCs w:val="36"/>
        </w:rPr>
        <w:t>韩国韩巴大学</w:t>
      </w:r>
      <w:r>
        <w:rPr>
          <w:color w:val="auto"/>
        </w:rPr>
        <w:tab/>
      </w:r>
      <w:r>
        <w:rPr>
          <w:color w:val="auto"/>
        </w:rPr>
        <w:fldChar w:fldCharType="begin"/>
      </w:r>
      <w:r>
        <w:rPr>
          <w:color w:val="auto"/>
        </w:rPr>
        <w:instrText xml:space="preserve"> PAGEREF _Toc6868 \h </w:instrText>
      </w:r>
      <w:r>
        <w:rPr>
          <w:color w:val="auto"/>
        </w:rPr>
        <w:fldChar w:fldCharType="separate"/>
      </w:r>
      <w:r>
        <w:rPr>
          <w:color w:val="auto"/>
        </w:rPr>
        <w:t>16</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_Toc9597 </w:instrText>
      </w:r>
      <w:r>
        <w:rPr>
          <w:rFonts w:ascii="楷体" w:hAnsi="楷体" w:eastAsia="楷体"/>
          <w:color w:val="auto"/>
          <w:szCs w:val="28"/>
        </w:rPr>
        <w:fldChar w:fldCharType="separate"/>
      </w:r>
      <w:r>
        <w:rPr>
          <w:rFonts w:hint="eastAsia" w:ascii="仿宋" w:hAnsi="仿宋" w:eastAsia="仿宋"/>
          <w:color w:val="auto"/>
          <w:szCs w:val="36"/>
          <w:lang w:val="en-US" w:eastAsia="zh-CN"/>
        </w:rPr>
        <w:t>意大利比萨</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_Toc9597 \h </w:instrText>
      </w:r>
      <w:r>
        <w:rPr>
          <w:color w:val="auto"/>
        </w:rPr>
        <w:fldChar w:fldCharType="separate"/>
      </w:r>
      <w:r>
        <w:rPr>
          <w:color w:val="auto"/>
        </w:rPr>
        <w:t>18</w:t>
      </w:r>
      <w:r>
        <w:rPr>
          <w:color w:val="auto"/>
        </w:rPr>
        <w:fldChar w:fldCharType="end"/>
      </w:r>
      <w:r>
        <w:rPr>
          <w:rFonts w:ascii="楷体" w:hAnsi="楷体" w:eastAsia="楷体"/>
          <w:color w:val="auto"/>
          <w:szCs w:val="28"/>
        </w:rPr>
        <w:fldChar w:fldCharType="end"/>
      </w:r>
    </w:p>
    <w:p>
      <w:pPr>
        <w:pStyle w:val="17"/>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_Toc8476 </w:instrText>
      </w:r>
      <w:r>
        <w:rPr>
          <w:rFonts w:ascii="楷体" w:hAnsi="楷体" w:eastAsia="楷体"/>
          <w:color w:val="auto"/>
          <w:szCs w:val="28"/>
        </w:rPr>
        <w:fldChar w:fldCharType="separate"/>
      </w:r>
      <w:r>
        <w:rPr>
          <w:rFonts w:hint="eastAsia" w:ascii="仿宋" w:hAnsi="仿宋" w:eastAsia="仿宋"/>
          <w:color w:val="auto"/>
        </w:rPr>
        <w:t>自费项目</w:t>
      </w:r>
      <w:r>
        <w:rPr>
          <w:color w:val="auto"/>
        </w:rPr>
        <w:tab/>
      </w:r>
      <w:r>
        <w:rPr>
          <w:color w:val="auto"/>
        </w:rPr>
        <w:fldChar w:fldCharType="begin"/>
      </w:r>
      <w:r>
        <w:rPr>
          <w:color w:val="auto"/>
        </w:rPr>
        <w:instrText xml:space="preserve"> PAGEREF _Toc8476 \h </w:instrText>
      </w:r>
      <w:r>
        <w:rPr>
          <w:color w:val="auto"/>
        </w:rPr>
        <w:fldChar w:fldCharType="separate"/>
      </w:r>
      <w:r>
        <w:rPr>
          <w:color w:val="auto"/>
        </w:rPr>
        <w:t>19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_Toc26812 </w:instrText>
      </w:r>
      <w:r>
        <w:rPr>
          <w:rFonts w:ascii="楷体" w:hAnsi="楷体" w:eastAsia="楷体"/>
          <w:color w:val="auto"/>
          <w:szCs w:val="28"/>
        </w:rPr>
        <w:fldChar w:fldCharType="separate"/>
      </w:r>
      <w:r>
        <w:rPr>
          <w:rFonts w:hint="eastAsia" w:ascii="仿宋" w:hAnsi="仿宋" w:eastAsia="仿宋"/>
          <w:color w:val="auto"/>
          <w:szCs w:val="36"/>
        </w:rPr>
        <w:t>捷克技术大学</w:t>
      </w:r>
      <w:r>
        <w:rPr>
          <w:color w:val="auto"/>
        </w:rPr>
        <w:tab/>
      </w:r>
      <w:r>
        <w:rPr>
          <w:color w:val="auto"/>
        </w:rPr>
        <w:fldChar w:fldCharType="begin"/>
      </w:r>
      <w:r>
        <w:rPr>
          <w:color w:val="auto"/>
        </w:rPr>
        <w:instrText xml:space="preserve"> PAGEREF _Toc26812 \h </w:instrText>
      </w:r>
      <w:r>
        <w:rPr>
          <w:color w:val="auto"/>
        </w:rPr>
        <w:fldChar w:fldCharType="separate"/>
      </w:r>
      <w:r>
        <w:rPr>
          <w:color w:val="auto"/>
        </w:rPr>
        <w:t>19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_Toc17807 </w:instrText>
      </w:r>
      <w:r>
        <w:rPr>
          <w:rFonts w:ascii="楷体" w:hAnsi="楷体" w:eastAsia="楷体"/>
          <w:color w:val="auto"/>
          <w:szCs w:val="28"/>
        </w:rPr>
        <w:fldChar w:fldCharType="separate"/>
      </w:r>
      <w:r>
        <w:rPr>
          <w:rFonts w:hint="eastAsia" w:ascii="仿宋" w:hAnsi="仿宋" w:eastAsia="仿宋"/>
          <w:color w:val="auto"/>
          <w:szCs w:val="36"/>
          <w:lang w:val="en-US" w:eastAsia="zh-CN"/>
        </w:rPr>
        <w:t>英国利物浦</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_Toc17807 \h </w:instrText>
      </w:r>
      <w:r>
        <w:rPr>
          <w:color w:val="auto"/>
        </w:rPr>
        <w:fldChar w:fldCharType="separate"/>
      </w:r>
      <w:r>
        <w:rPr>
          <w:color w:val="auto"/>
        </w:rPr>
        <w:t>20</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_Toc10863 </w:instrText>
      </w:r>
      <w:r>
        <w:rPr>
          <w:rFonts w:ascii="楷体" w:hAnsi="楷体" w:eastAsia="楷体"/>
          <w:color w:val="auto"/>
          <w:szCs w:val="28"/>
        </w:rPr>
        <w:fldChar w:fldCharType="separate"/>
      </w:r>
      <w:r>
        <w:rPr>
          <w:rFonts w:hint="eastAsia" w:ascii="仿宋" w:hAnsi="仿宋" w:eastAsia="仿宋"/>
          <w:color w:val="auto"/>
          <w:szCs w:val="36"/>
        </w:rPr>
        <w:t>美国威斯康星大学密尔沃基分校（毕业设计项目）</w:t>
      </w:r>
      <w:r>
        <w:rPr>
          <w:color w:val="auto"/>
        </w:rPr>
        <w:tab/>
      </w:r>
      <w:r>
        <w:rPr>
          <w:color w:val="auto"/>
        </w:rPr>
        <w:fldChar w:fldCharType="begin"/>
      </w:r>
      <w:r>
        <w:rPr>
          <w:color w:val="auto"/>
        </w:rPr>
        <w:instrText xml:space="preserve"> PAGEREF _Toc10863 \h </w:instrText>
      </w:r>
      <w:r>
        <w:rPr>
          <w:color w:val="auto"/>
        </w:rPr>
        <w:fldChar w:fldCharType="separate"/>
      </w:r>
      <w:r>
        <w:rPr>
          <w:color w:val="auto"/>
        </w:rPr>
        <w:t>21</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_Toc1655 </w:instrText>
      </w:r>
      <w:r>
        <w:rPr>
          <w:rFonts w:ascii="楷体" w:hAnsi="楷体" w:eastAsia="楷体"/>
          <w:color w:val="auto"/>
          <w:szCs w:val="28"/>
        </w:rPr>
        <w:fldChar w:fldCharType="separate"/>
      </w:r>
      <w:r>
        <w:rPr>
          <w:rFonts w:hint="eastAsia" w:ascii="仿宋" w:hAnsi="仿宋" w:eastAsia="仿宋"/>
          <w:color w:val="auto"/>
          <w:szCs w:val="36"/>
        </w:rPr>
        <w:t>美国密歇根大学德尔本校区</w:t>
      </w:r>
      <w:r>
        <w:rPr>
          <w:color w:val="auto"/>
        </w:rPr>
        <w:tab/>
      </w:r>
      <w:r>
        <w:rPr>
          <w:color w:val="auto"/>
        </w:rPr>
        <w:fldChar w:fldCharType="begin"/>
      </w:r>
      <w:r>
        <w:rPr>
          <w:color w:val="auto"/>
        </w:rPr>
        <w:instrText xml:space="preserve"> PAGEREF _Toc1655 \h </w:instrText>
      </w:r>
      <w:r>
        <w:rPr>
          <w:color w:val="auto"/>
        </w:rPr>
        <w:fldChar w:fldCharType="separate"/>
      </w:r>
      <w:r>
        <w:rPr>
          <w:color w:val="auto"/>
        </w:rPr>
        <w:t>23</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_Toc7251 </w:instrText>
      </w:r>
      <w:r>
        <w:rPr>
          <w:rFonts w:ascii="楷体" w:hAnsi="楷体" w:eastAsia="楷体"/>
          <w:color w:val="auto"/>
          <w:szCs w:val="28"/>
        </w:rPr>
        <w:fldChar w:fldCharType="separate"/>
      </w:r>
      <w:r>
        <w:rPr>
          <w:rFonts w:hint="eastAsia" w:ascii="仿宋" w:hAnsi="仿宋" w:eastAsia="仿宋"/>
          <w:color w:val="auto"/>
          <w:szCs w:val="36"/>
        </w:rPr>
        <w:t>美国普渡大学西北校区</w:t>
      </w:r>
      <w:r>
        <w:rPr>
          <w:color w:val="auto"/>
        </w:rPr>
        <w:tab/>
      </w:r>
      <w:r>
        <w:rPr>
          <w:color w:val="auto"/>
        </w:rPr>
        <w:fldChar w:fldCharType="begin"/>
      </w:r>
      <w:r>
        <w:rPr>
          <w:color w:val="auto"/>
        </w:rPr>
        <w:instrText xml:space="preserve"> PAGEREF _Toc7251 \h </w:instrText>
      </w:r>
      <w:r>
        <w:rPr>
          <w:color w:val="auto"/>
        </w:rPr>
        <w:fldChar w:fldCharType="separate"/>
      </w:r>
      <w:r>
        <w:rPr>
          <w:color w:val="auto"/>
        </w:rPr>
        <w:t>24</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_Toc16149 </w:instrText>
      </w:r>
      <w:r>
        <w:rPr>
          <w:rFonts w:ascii="楷体" w:hAnsi="楷体" w:eastAsia="楷体"/>
          <w:color w:val="auto"/>
          <w:szCs w:val="28"/>
        </w:rPr>
        <w:fldChar w:fldCharType="separate"/>
      </w:r>
      <w:r>
        <w:rPr>
          <w:rFonts w:hint="eastAsia" w:ascii="仿宋" w:hAnsi="仿宋" w:eastAsia="仿宋"/>
          <w:color w:val="auto"/>
          <w:szCs w:val="36"/>
        </w:rPr>
        <w:t>美国</w:t>
      </w:r>
      <w:r>
        <w:rPr>
          <w:rFonts w:hint="eastAsia" w:ascii="仿宋" w:hAnsi="仿宋" w:eastAsia="仿宋"/>
          <w:color w:val="auto"/>
          <w:szCs w:val="36"/>
          <w:lang w:val="en-US" w:eastAsia="zh-CN"/>
        </w:rPr>
        <w:t>加州大学河滨分校</w:t>
      </w:r>
      <w:r>
        <w:rPr>
          <w:color w:val="auto"/>
        </w:rPr>
        <w:tab/>
      </w:r>
      <w:r>
        <w:rPr>
          <w:color w:val="auto"/>
        </w:rPr>
        <w:fldChar w:fldCharType="begin"/>
      </w:r>
      <w:r>
        <w:rPr>
          <w:color w:val="auto"/>
        </w:rPr>
        <w:instrText xml:space="preserve"> PAGEREF _Toc16149 \h </w:instrText>
      </w:r>
      <w:r>
        <w:rPr>
          <w:color w:val="auto"/>
        </w:rPr>
        <w:fldChar w:fldCharType="separate"/>
      </w:r>
      <w:r>
        <w:rPr>
          <w:color w:val="auto"/>
        </w:rPr>
        <w:t>25</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_Toc17209 </w:instrText>
      </w:r>
      <w:r>
        <w:rPr>
          <w:rFonts w:ascii="楷体" w:hAnsi="楷体" w:eastAsia="楷体"/>
          <w:color w:val="auto"/>
          <w:szCs w:val="28"/>
        </w:rPr>
        <w:fldChar w:fldCharType="separate"/>
      </w:r>
      <w:r>
        <w:rPr>
          <w:rFonts w:hint="eastAsia" w:ascii="仿宋" w:hAnsi="仿宋" w:eastAsia="仿宋"/>
          <w:color w:val="auto"/>
          <w:szCs w:val="36"/>
        </w:rPr>
        <w:t>澳大利亚昆士兰大学</w:t>
      </w:r>
      <w:r>
        <w:rPr>
          <w:color w:val="auto"/>
        </w:rPr>
        <w:tab/>
      </w:r>
      <w:r>
        <w:rPr>
          <w:color w:val="auto"/>
        </w:rPr>
        <w:fldChar w:fldCharType="begin"/>
      </w:r>
      <w:r>
        <w:rPr>
          <w:color w:val="auto"/>
        </w:rPr>
        <w:instrText xml:space="preserve"> PAGEREF _Toc17209 \h </w:instrText>
      </w:r>
      <w:r>
        <w:rPr>
          <w:color w:val="auto"/>
        </w:rPr>
        <w:fldChar w:fldCharType="separate"/>
      </w:r>
      <w:r>
        <w:rPr>
          <w:color w:val="auto"/>
        </w:rPr>
        <w:t>26</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_Toc25922 </w:instrText>
      </w:r>
      <w:r>
        <w:rPr>
          <w:rFonts w:ascii="楷体" w:hAnsi="楷体" w:eastAsia="楷体"/>
          <w:color w:val="auto"/>
          <w:szCs w:val="28"/>
        </w:rPr>
        <w:fldChar w:fldCharType="separate"/>
      </w:r>
      <w:r>
        <w:rPr>
          <w:rFonts w:hint="eastAsia" w:ascii="仿宋" w:hAnsi="仿宋" w:eastAsia="仿宋"/>
          <w:color w:val="auto"/>
          <w:szCs w:val="36"/>
        </w:rPr>
        <w:t>澳大利亚新南威尔士大学</w:t>
      </w:r>
      <w:r>
        <w:rPr>
          <w:color w:val="auto"/>
        </w:rPr>
        <w:tab/>
      </w:r>
      <w:r>
        <w:rPr>
          <w:color w:val="auto"/>
        </w:rPr>
        <w:fldChar w:fldCharType="begin"/>
      </w:r>
      <w:r>
        <w:rPr>
          <w:color w:val="auto"/>
        </w:rPr>
        <w:instrText xml:space="preserve"> PAGEREF _Toc25922 \h </w:instrText>
      </w:r>
      <w:r>
        <w:rPr>
          <w:color w:val="auto"/>
        </w:rPr>
        <w:fldChar w:fldCharType="separate"/>
      </w:r>
      <w:r>
        <w:rPr>
          <w:color w:val="auto"/>
        </w:rPr>
        <w:t>27</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_Toc22713 </w:instrText>
      </w:r>
      <w:r>
        <w:rPr>
          <w:rFonts w:ascii="楷体" w:hAnsi="楷体" w:eastAsia="楷体"/>
          <w:color w:val="auto"/>
          <w:szCs w:val="28"/>
        </w:rPr>
        <w:fldChar w:fldCharType="separate"/>
      </w:r>
      <w:r>
        <w:rPr>
          <w:rFonts w:hint="eastAsia" w:ascii="仿宋" w:hAnsi="仿宋" w:eastAsia="仿宋"/>
          <w:color w:val="auto"/>
          <w:szCs w:val="36"/>
        </w:rPr>
        <w:t>澳大利亚纽卡斯尔大学</w:t>
      </w:r>
      <w:r>
        <w:rPr>
          <w:color w:val="auto"/>
        </w:rPr>
        <w:tab/>
      </w:r>
      <w:r>
        <w:rPr>
          <w:color w:val="auto"/>
        </w:rPr>
        <w:fldChar w:fldCharType="begin"/>
      </w:r>
      <w:r>
        <w:rPr>
          <w:color w:val="auto"/>
        </w:rPr>
        <w:instrText xml:space="preserve"> PAGEREF _Toc22713 \h </w:instrText>
      </w:r>
      <w:r>
        <w:rPr>
          <w:color w:val="auto"/>
        </w:rPr>
        <w:fldChar w:fldCharType="separate"/>
      </w:r>
      <w:r>
        <w:rPr>
          <w:color w:val="auto"/>
        </w:rPr>
        <w:t>28</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_Toc717 </w:instrText>
      </w:r>
      <w:r>
        <w:rPr>
          <w:rFonts w:ascii="楷体" w:hAnsi="楷体" w:eastAsia="楷体"/>
          <w:color w:val="auto"/>
          <w:szCs w:val="28"/>
        </w:rPr>
        <w:fldChar w:fldCharType="separate"/>
      </w:r>
      <w:r>
        <w:rPr>
          <w:rFonts w:hint="eastAsia" w:ascii="仿宋" w:hAnsi="仿宋" w:eastAsia="仿宋"/>
          <w:color w:val="auto"/>
          <w:szCs w:val="36"/>
        </w:rPr>
        <w:t>澳大利亚昆士兰科技大学</w:t>
      </w:r>
      <w:r>
        <w:rPr>
          <w:color w:val="auto"/>
        </w:rPr>
        <w:tab/>
      </w:r>
      <w:r>
        <w:rPr>
          <w:color w:val="auto"/>
        </w:rPr>
        <w:fldChar w:fldCharType="begin"/>
      </w:r>
      <w:r>
        <w:rPr>
          <w:color w:val="auto"/>
        </w:rPr>
        <w:instrText xml:space="preserve"> PAGEREF _Toc717 \h </w:instrText>
      </w:r>
      <w:r>
        <w:rPr>
          <w:color w:val="auto"/>
        </w:rPr>
        <w:fldChar w:fldCharType="separate"/>
      </w:r>
      <w:r>
        <w:rPr>
          <w:color w:val="auto"/>
        </w:rPr>
        <w:t>29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_Toc919 </w:instrText>
      </w:r>
      <w:r>
        <w:rPr>
          <w:rFonts w:ascii="楷体" w:hAnsi="楷体" w:eastAsia="楷体"/>
          <w:color w:val="auto"/>
          <w:szCs w:val="28"/>
        </w:rPr>
        <w:fldChar w:fldCharType="separate"/>
      </w:r>
      <w:r>
        <w:rPr>
          <w:rFonts w:hint="eastAsia" w:ascii="仿宋" w:hAnsi="仿宋" w:eastAsia="仿宋"/>
          <w:color w:val="auto"/>
          <w:szCs w:val="36"/>
        </w:rPr>
        <w:t>马来西亚马来亚大学</w:t>
      </w:r>
      <w:r>
        <w:rPr>
          <w:color w:val="auto"/>
        </w:rPr>
        <w:tab/>
      </w:r>
      <w:r>
        <w:rPr>
          <w:color w:val="auto"/>
        </w:rPr>
        <w:fldChar w:fldCharType="begin"/>
      </w:r>
      <w:r>
        <w:rPr>
          <w:color w:val="auto"/>
        </w:rPr>
        <w:instrText xml:space="preserve"> PAGEREF _Toc919 \h </w:instrText>
      </w:r>
      <w:r>
        <w:rPr>
          <w:color w:val="auto"/>
        </w:rPr>
        <w:fldChar w:fldCharType="separate"/>
      </w:r>
      <w:r>
        <w:rPr>
          <w:color w:val="auto"/>
        </w:rPr>
        <w:t>30</w:t>
      </w:r>
      <w:r>
        <w:rPr>
          <w:color w:val="auto"/>
        </w:rPr>
        <w:fldChar w:fldCharType="end"/>
      </w:r>
      <w:r>
        <w:rPr>
          <w:rFonts w:ascii="楷体" w:hAnsi="楷体" w:eastAsia="楷体"/>
          <w:color w:val="auto"/>
          <w:szCs w:val="28"/>
        </w:rPr>
        <w:fldChar w:fldCharType="end"/>
      </w:r>
    </w:p>
    <w:p>
      <w:pPr>
        <w:pStyle w:val="11"/>
        <w:tabs>
          <w:tab w:val="right" w:leader="middleDot" w:pos="8306"/>
        </w:tabs>
        <w:rPr>
          <w:rFonts w:ascii="楷体" w:hAnsi="楷体" w:eastAsia="楷体"/>
          <w:color w:val="auto"/>
          <w:szCs w:val="28"/>
        </w:rPr>
      </w:pPr>
      <w:r>
        <w:rPr>
          <w:rFonts w:ascii="楷体" w:hAnsi="楷体" w:eastAsia="楷体"/>
          <w:color w:val="auto"/>
          <w:szCs w:val="28"/>
        </w:rPr>
        <w:fldChar w:fldCharType="begin"/>
      </w:r>
      <w:r>
        <w:rPr>
          <w:rFonts w:ascii="楷体" w:hAnsi="楷体" w:eastAsia="楷体"/>
          <w:color w:val="auto"/>
          <w:szCs w:val="28"/>
        </w:rPr>
        <w:instrText xml:space="preserve"> HYPERLINK \l _Toc7893 </w:instrText>
      </w:r>
      <w:r>
        <w:rPr>
          <w:rFonts w:ascii="楷体" w:hAnsi="楷体" w:eastAsia="楷体"/>
          <w:color w:val="auto"/>
          <w:szCs w:val="28"/>
        </w:rPr>
        <w:fldChar w:fldCharType="separate"/>
      </w:r>
      <w:r>
        <w:rPr>
          <w:rFonts w:hint="eastAsia" w:ascii="仿宋" w:hAnsi="仿宋" w:eastAsia="仿宋"/>
          <w:color w:val="auto"/>
          <w:szCs w:val="36"/>
        </w:rPr>
        <w:t>韩国延世大学</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31</w:t>
      </w:r>
      <w:r>
        <w:rPr>
          <w:color w:val="auto"/>
        </w:rPr>
        <w:fldChar w:fldCharType="end"/>
      </w:r>
      <w:r>
        <w:rPr>
          <w:rFonts w:ascii="楷体" w:hAnsi="楷体" w:eastAsia="楷体"/>
          <w:color w:val="auto"/>
          <w:szCs w:val="28"/>
        </w:rPr>
        <w:fldChar w:fldCharType="end"/>
      </w:r>
    </w:p>
    <w:p>
      <w:pPr>
        <w:pStyle w:val="11"/>
        <w:tabs>
          <w:tab w:val="right" w:leader="middleDot" w:pos="8306"/>
        </w:tabs>
        <w:rPr>
          <w:rFonts w:ascii="楷体" w:hAnsi="楷体" w:eastAsia="楷体"/>
          <w:szCs w:val="28"/>
        </w:rPr>
      </w:pPr>
      <w:r>
        <w:rPr>
          <w:rFonts w:ascii="楷体" w:hAnsi="楷体" w:eastAsia="楷体"/>
          <w:color w:val="auto"/>
          <w:szCs w:val="28"/>
        </w:rPr>
        <w:fldChar w:fldCharType="begin"/>
      </w:r>
      <w:r>
        <w:rPr>
          <w:rFonts w:ascii="楷体" w:hAnsi="楷体" w:eastAsia="楷体"/>
          <w:color w:val="auto"/>
          <w:szCs w:val="28"/>
        </w:rPr>
        <w:instrText xml:space="preserve"> HYPERLINK \l _Toc7893 </w:instrText>
      </w:r>
      <w:r>
        <w:rPr>
          <w:rFonts w:ascii="楷体" w:hAnsi="楷体" w:eastAsia="楷体"/>
          <w:color w:val="auto"/>
          <w:szCs w:val="28"/>
        </w:rPr>
        <w:fldChar w:fldCharType="separate"/>
      </w:r>
      <w:r>
        <w:rPr>
          <w:rFonts w:hint="eastAsia" w:ascii="仿宋" w:hAnsi="仿宋" w:eastAsia="仿宋"/>
          <w:color w:val="auto"/>
          <w:szCs w:val="36"/>
        </w:rPr>
        <w:t>韩国</w:t>
      </w:r>
      <w:r>
        <w:rPr>
          <w:rFonts w:hint="eastAsia" w:ascii="仿宋" w:hAnsi="仿宋" w:eastAsia="仿宋"/>
          <w:color w:val="auto"/>
          <w:szCs w:val="36"/>
          <w:lang w:val="en-US" w:eastAsia="zh-CN"/>
        </w:rPr>
        <w:t>崇实</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31</w:t>
      </w:r>
      <w:r>
        <w:rPr>
          <w:color w:val="auto"/>
        </w:rPr>
        <w:fldChar w:fldCharType="end"/>
      </w:r>
      <w:r>
        <w:rPr>
          <w:rFonts w:ascii="楷体" w:hAnsi="楷体" w:eastAsia="楷体"/>
          <w:color w:val="auto"/>
          <w:szCs w:val="28"/>
        </w:rPr>
        <w:fldChar w:fldCharType="end"/>
      </w:r>
    </w:p>
    <w:p/>
    <w:p>
      <w:pPr>
        <w:pStyle w:val="11"/>
        <w:tabs>
          <w:tab w:val="right" w:leader="dot" w:pos="8306"/>
        </w:tabs>
        <w:ind w:left="0"/>
        <w:rPr>
          <w:rFonts w:ascii="楷体" w:hAnsi="楷体" w:eastAsia="楷体" w:cs="楷体"/>
          <w:sz w:val="28"/>
          <w:szCs w:val="28"/>
        </w:rPr>
      </w:pPr>
      <w:r>
        <w:rPr>
          <w:rFonts w:ascii="楷体" w:hAnsi="楷体" w:eastAsia="楷体"/>
          <w:szCs w:val="28"/>
        </w:rPr>
        <w:fldChar w:fldCharType="end"/>
      </w:r>
      <w:bookmarkStart w:id="0" w:name="_Toc23179"/>
      <w:r>
        <w:rPr>
          <w:rFonts w:ascii="楷体" w:hAnsi="楷体" w:eastAsia="楷体" w:cs="楷体"/>
          <w:sz w:val="28"/>
          <w:szCs w:val="28"/>
        </w:rPr>
        <w:t xml:space="preserve"> </w:t>
      </w:r>
      <w:r>
        <w:br w:type="page"/>
      </w:r>
    </w:p>
    <w:bookmarkEnd w:id="0"/>
    <w:p>
      <w:pPr>
        <w:pStyle w:val="29"/>
        <w:jc w:val="center"/>
      </w:pPr>
      <w:bookmarkStart w:id="1" w:name="_Toc24077"/>
      <w:r>
        <w:rPr>
          <w:rFonts w:hint="eastAsia"/>
        </w:rPr>
        <w:t>免学费项目</w:t>
      </w:r>
      <w:bookmarkEnd w:id="1"/>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 w:name="_Toc2558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德国柏林自由大学</w:t>
      </w:r>
      <w:bookmarkEnd w:id="2"/>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选拔优秀本科生赴德国柏林自由大学进行学习，回校后进行学分互认转换。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数理</w:t>
            </w:r>
            <w:r>
              <w:rPr>
                <w:rFonts w:hint="eastAsia" w:ascii="仿宋" w:hAnsi="仿宋" w:eastAsia="仿宋" w:cs="宋体"/>
              </w:rPr>
              <w:t>学院</w:t>
            </w:r>
            <w:r>
              <w:rPr>
                <w:rFonts w:ascii="仿宋" w:hAnsi="仿宋" w:eastAsia="仿宋" w:cs="宋体"/>
              </w:rPr>
              <w:t>-</w:t>
            </w:r>
            <w:r>
              <w:rPr>
                <w:rFonts w:hint="eastAsia" w:ascii="仿宋" w:hAnsi="仿宋" w:eastAsia="仿宋" w:cs="宋体"/>
                <w:lang w:eastAsia="zh-Hans"/>
              </w:rPr>
              <w:t>物理专业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（4）较强的英语沟通能力（选择德文授课达到欧盟要求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级以上水平，选择英文授课英语需达到欧盟要求</w:t>
            </w:r>
            <w:r>
              <w:rPr>
                <w:rFonts w:ascii="仿宋" w:hAnsi="仿宋" w:eastAsia="仿宋" w:cs="宋体"/>
                <w:color w:val="000000" w:themeColor="text1"/>
                <w:shd w:val="clear" w:color="auto" w:fill="FFFFFF"/>
                <w14:textFill>
                  <w14:solidFill>
                    <w14:schemeClr w14:val="tx1"/>
                  </w14:solidFill>
                </w14:textFill>
              </w:rPr>
              <w:t>B</w:t>
            </w:r>
            <w:r>
              <w:rPr>
                <w:rFonts w:hint="eastAsia" w:ascii="仿宋" w:hAnsi="仿宋" w:eastAsia="仿宋" w:cs="宋体"/>
                <w:color w:val="000000" w:themeColor="text1"/>
                <w:shd w:val="clear" w:color="auto" w:fill="FFFFFF"/>
                <w14:textFill>
                  <w14:solidFill>
                    <w14:schemeClr w14:val="tx1"/>
                  </w14:solidFill>
                </w14:textFill>
              </w:rPr>
              <w:t>1以上水平）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柏林自由大学（德文：Freie Universit</w:t>
            </w:r>
            <w:r>
              <w:rPr>
                <w:rFonts w:ascii="Calibri" w:hAnsi="Calibri" w:eastAsia="仿宋" w:cs="Calibri"/>
                <w:color w:val="000000" w:themeColor="text1"/>
                <w14:textFill>
                  <w14:solidFill>
                    <w14:schemeClr w14:val="tx1"/>
                  </w14:solidFill>
                </w14:textFill>
              </w:rPr>
              <w:t>ä</w:t>
            </w:r>
            <w:r>
              <w:rPr>
                <w:rFonts w:hint="eastAsia" w:ascii="仿宋" w:hAnsi="仿宋" w:eastAsia="仿宋" w:cs="宋体"/>
                <w:color w:val="000000" w:themeColor="text1"/>
                <w14:textFill>
                  <w14:solidFill>
                    <w14:schemeClr w14:val="tx1"/>
                  </w14:solidFill>
                </w14:textFill>
              </w:rPr>
              <w:t>t Berlin）创建于1948年，前身为柏林大学，主校址位于柏林Dahlem，是德国首都规模最大的文理科综合性大学，也是欧洲大陆乃至世界的著名高校之一。柏林自由大学位列2020年QS世界大学排名第130位，2020年THE世界大学排名第117位，2019年USNews世界大学排名第116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9"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 w:name="_Toc861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德国勃兰登堡工业大学</w:t>
      </w:r>
      <w:bookmarkEnd w:id="3"/>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选拔优秀本科生赴勃兰登堡工业大学进行学习，学习为期一年，其中成绩优异的同学可继续攻读硕士。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w:t>
            </w:r>
            <w:r>
              <w:rPr>
                <w:rFonts w:ascii="仿宋" w:hAnsi="仿宋" w:eastAsia="仿宋" w:cs="宋体"/>
                <w:color w:val="000000" w:themeColor="text1"/>
                <w14:textFill>
                  <w14:solidFill>
                    <w14:schemeClr w14:val="tx1"/>
                  </w14:solidFill>
                </w14:textFill>
              </w:rPr>
              <w:t>能源与动力工程学院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成绩优异</w:t>
            </w:r>
            <w:r>
              <w:rPr>
                <w:rFonts w:ascii="仿宋" w:hAnsi="仿宋" w:eastAsia="仿宋" w:cs="宋体"/>
                <w:color w:val="000000" w:themeColor="text1"/>
                <w14:textFill>
                  <w14:solidFill>
                    <w14:schemeClr w14:val="tx1"/>
                  </w14:solidFill>
                </w14:textFill>
              </w:rPr>
              <w:t>同学可选择</w:t>
            </w:r>
            <w:r>
              <w:rPr>
                <w:rFonts w:hint="eastAsia" w:ascii="仿宋" w:hAnsi="仿宋" w:eastAsia="仿宋" w:cs="宋体"/>
                <w:color w:val="000000" w:themeColor="text1"/>
                <w14:textFill>
                  <w14:solidFill>
                    <w14:schemeClr w14:val="tx1"/>
                  </w14:solidFill>
                </w14:textFill>
              </w:rPr>
              <w:t>交换后“3</w:t>
            </w:r>
            <w:r>
              <w:rPr>
                <w:rFonts w:ascii="仿宋" w:hAnsi="仿宋" w:eastAsia="仿宋" w:cs="宋体"/>
                <w:color w:val="000000" w:themeColor="text1"/>
                <w14:textFill>
                  <w14:solidFill>
                    <w14:schemeClr w14:val="tx1"/>
                  </w14:solidFill>
                </w14:textFill>
              </w:rPr>
              <w:t>+1+1</w:t>
            </w:r>
            <w:r>
              <w:rPr>
                <w:rFonts w:hint="eastAsia" w:ascii="仿宋" w:hAnsi="仿宋" w:eastAsia="仿宋" w:cs="宋体"/>
                <w:color w:val="000000" w:themeColor="text1"/>
                <w14:textFill>
                  <w14:solidFill>
                    <w14:schemeClr w14:val="tx1"/>
                  </w14:solidFill>
                </w14:textFill>
              </w:rPr>
              <w:t>”</w:t>
            </w:r>
            <w:r>
              <w:rPr>
                <w:rFonts w:ascii="仿宋" w:hAnsi="仿宋" w:eastAsia="仿宋" w:cs="宋体"/>
                <w:color w:val="000000" w:themeColor="text1"/>
                <w14:textFill>
                  <w14:solidFill>
                    <w14:schemeClr w14:val="tx1"/>
                  </w14:solidFill>
                </w14:textFill>
              </w:rPr>
              <w:t>留德继续攻读硕士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免学费、交注册费</w:t>
            </w:r>
            <w:r>
              <w:rPr>
                <w:rFonts w:hint="eastAsia" w:ascii="仿宋" w:hAnsi="仿宋" w:eastAsia="仿宋" w:cs="宋体"/>
                <w:color w:val="000000" w:themeColor="text1"/>
                <w:lang w:val="en-US" w:eastAsia="zh-CN"/>
                <w14:textFill>
                  <w14:solidFill>
                    <w14:schemeClr w14:val="tx1"/>
                  </w14:solidFill>
                </w14:textFill>
              </w:rPr>
              <w:t>约</w:t>
            </w:r>
            <w:r>
              <w:rPr>
                <w:rFonts w:hint="eastAsia" w:ascii="仿宋" w:hAnsi="仿宋" w:eastAsia="仿宋" w:cs="宋体"/>
                <w:color w:val="000000" w:themeColor="text1"/>
                <w14:textFill>
                  <w14:solidFill>
                    <w14:schemeClr w14:val="tx1"/>
                  </w14:solidFill>
                </w14:textFill>
              </w:rPr>
              <w:t>270欧元/学期，其他费用由学生自理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（4）较强的英语沟通能力（雅思不低于6，托福不低于79或通过对方面试）；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（5）需通过德国学校教师的AP</w:t>
            </w:r>
            <w:r>
              <w:rPr>
                <w:rFonts w:ascii="仿宋" w:hAnsi="仿宋" w:eastAsia="仿宋" w:cs="宋体"/>
                <w:color w:val="000000" w:themeColor="text1"/>
                <w:shd w:val="clear" w:color="auto" w:fill="FFFFFF"/>
                <w14:textFill>
                  <w14:solidFill>
                    <w14:schemeClr w14:val="tx1"/>
                  </w14:solidFill>
                </w14:textFill>
              </w:rPr>
              <w:t>S</w:t>
            </w:r>
            <w:r>
              <w:rPr>
                <w:rFonts w:hint="eastAsia" w:ascii="仿宋" w:hAnsi="仿宋" w:eastAsia="仿宋" w:cs="宋体"/>
                <w:color w:val="000000" w:themeColor="text1"/>
                <w:shd w:val="clear" w:color="auto" w:fill="FFFFFF"/>
                <w14:textFill>
                  <w14:solidFill>
                    <w14:schemeClr w14:val="tx1"/>
                  </w14:solidFill>
                </w14:textFill>
              </w:rPr>
              <w:t>考试（英语语言考试和申请材料审核）</w:t>
            </w:r>
            <w:r>
              <w:rPr>
                <w:rFonts w:ascii="仿宋" w:hAnsi="仿宋" w:eastAsia="仿宋" w:cs="宋体"/>
                <w:color w:val="000000" w:themeColor="text1"/>
                <w:shd w:val="clear" w:color="auto" w:fill="FFFFFF"/>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我校为报名成功的同学集中组织面试。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勃兰登堡工业大学（简称BTU)是位于德国境内</w:t>
            </w:r>
            <w:r>
              <w:fldChar w:fldCharType="begin"/>
            </w:r>
            <w:r>
              <w:instrText xml:space="preserve"> HYPERLINK "https://baike.baidu.com/item/%E5%8B%83%E5%85%B0%E7%99%BB%E5%A0%A1%E5%B7%9E/5446866" \t "_blank" </w:instrText>
            </w:r>
            <w:r>
              <w:fldChar w:fldCharType="separate"/>
            </w:r>
            <w:r>
              <w:rPr>
                <w:rStyle w:val="35"/>
                <w:rFonts w:hint="eastAsia" w:ascii="仿宋" w:hAnsi="仿宋" w:eastAsia="仿宋" w:cs="宋体"/>
                <w:color w:val="000000" w:themeColor="text1"/>
                <w14:textFill>
                  <w14:solidFill>
                    <w14:schemeClr w14:val="tx1"/>
                  </w14:solidFill>
                </w14:textFill>
              </w:rPr>
              <w:t>勃兰登堡州</w:t>
            </w:r>
            <w:r>
              <w:rPr>
                <w:rStyle w:val="35"/>
                <w:rFonts w:hint="eastAsia" w:ascii="仿宋" w:hAnsi="仿宋" w:eastAsia="仿宋" w:cs="宋体"/>
                <w:color w:val="000000" w:themeColor="text1"/>
                <w14:textFill>
                  <w14:solidFill>
                    <w14:schemeClr w14:val="tx1"/>
                  </w14:solidFill>
                </w14:textFill>
              </w:rPr>
              <w:fldChar w:fldCharType="end"/>
            </w:r>
            <w:r>
              <w:fldChar w:fldCharType="begin"/>
            </w:r>
            <w:r>
              <w:instrText xml:space="preserve"> HYPERLINK "https://baike.baidu.com/item/%E7%A7%91%E7%89%B9%E5%B8%83%E6%96%AF%E5%B8%82/3720776" \t "_blank" </w:instrText>
            </w:r>
            <w:r>
              <w:fldChar w:fldCharType="separate"/>
            </w:r>
            <w:r>
              <w:rPr>
                <w:rStyle w:val="35"/>
                <w:rFonts w:hint="eastAsia" w:ascii="仿宋" w:hAnsi="仿宋" w:eastAsia="仿宋" w:cs="宋体"/>
                <w:color w:val="000000" w:themeColor="text1"/>
                <w14:textFill>
                  <w14:solidFill>
                    <w14:schemeClr w14:val="tx1"/>
                  </w14:solidFill>
                </w14:textFill>
              </w:rPr>
              <w:t>科特布斯市</w:t>
            </w:r>
            <w:r>
              <w:rPr>
                <w:rStyle w:val="35"/>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的一所工科性质的综合性大学。同时，该大学也是勃兰登堡州第一大重点工业大学且也是唯一的一所较大规模的大学。勃兰登堡工业大学是国际公认的，创新型的技术大学。重点专业为：环境、能源、材料、建筑、信息和通信技术。主要有四个学院：自然科学与计算机学院、建筑设计规划学院、机械电气工程学院、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1"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p>
            <w:pPr>
              <w:rPr>
                <w:rFonts w:hint="eastAsia" w:ascii="仿宋" w:hAnsi="仿宋" w:eastAsia="仿宋" w:cs="宋体"/>
                <w:color w:val="000000" w:themeColor="text1"/>
                <w:sz w:val="24"/>
                <w:lang w:eastAsia="zh-CN"/>
                <w14:textFill>
                  <w14:solidFill>
                    <w14:schemeClr w14:val="tx1"/>
                  </w14:solidFill>
                </w14:textFill>
              </w:rPr>
            </w:pP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4" w:name="_Toc16765"/>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巴西坎皮纳斯大学</w:t>
      </w:r>
      <w:bookmarkEnd w:id="4"/>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B0F0"/>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B0F0"/>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hint="default" w:ascii="仿宋" w:hAnsi="仿宋" w:eastAsia="宋体" w:cs="宋体"/>
                <w:color w:val="000000" w:themeColor="text1"/>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计算机科学、物理、数学、环境工程</w:t>
            </w:r>
            <w:r>
              <w:rPr>
                <w:rFonts w:hint="eastAsia" w:ascii="仿宋" w:hAnsi="仿宋" w:eastAsia="仿宋" w:cs="宋体"/>
                <w:color w:val="000000" w:themeColor="text1"/>
                <w:shd w:val="clear" w:color="auto" w:fill="FFFFFF"/>
                <w:lang w:eastAsia="zh-CN"/>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电信工程、控制与自动化工程、电气工程、机械工程、化学工程、行政管理、公共管理</w:t>
            </w:r>
            <w:r>
              <w:rPr>
                <w:rFonts w:hint="eastAsia" w:ascii="仿宋" w:hAnsi="仿宋" w:eastAsia="仿宋" w:cs="宋体"/>
                <w:color w:val="000000" w:themeColor="text1"/>
                <w:shd w:val="clear" w:color="auto" w:fill="FFFFFF"/>
                <w:lang w:val="en-US" w:eastAsia="zh-CN"/>
                <w14:textFill>
                  <w14:solidFill>
                    <w14:schemeClr w14:val="tx1"/>
                  </w14:solidFill>
                </w14:textFill>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w:t>
            </w:r>
            <w:r>
              <w:rPr>
                <w:rFonts w:hint="eastAsia" w:ascii="仿宋" w:hAnsi="仿宋" w:eastAsia="仿宋" w:cs="宋体"/>
                <w:color w:val="000000" w:themeColor="text1"/>
                <w:lang w:eastAsia="zh-Hans"/>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B0F0"/>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2.</w:t>
            </w:r>
            <w:r>
              <w:rPr>
                <w:rFonts w:hint="eastAsia" w:ascii="仿宋" w:hAnsi="仿宋" w:eastAsia="仿宋" w:cs="宋体"/>
                <w:color w:val="000000" w:themeColor="text1"/>
                <w:shd w:val="clear" w:color="auto" w:fill="FFFFFF"/>
                <w14:textFill>
                  <w14:solidFill>
                    <w14:schemeClr w14:val="tx1"/>
                  </w14:solidFill>
                </w14:textFill>
              </w:rPr>
              <w:t>身心健康，无不适合在外学习的疾病史；</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3.</w:t>
            </w:r>
            <w:r>
              <w:rPr>
                <w:rFonts w:hint="eastAsia" w:ascii="仿宋" w:hAnsi="仿宋" w:eastAsia="仿宋" w:cs="宋体"/>
                <w:color w:val="000000" w:themeColor="text1"/>
                <w:shd w:val="clear" w:color="auto" w:fill="FFFFFF"/>
                <w14:textFill>
                  <w14:solidFill>
                    <w14:schemeClr w14:val="tx1"/>
                  </w14:solidFill>
                </w14:textFill>
              </w:rPr>
              <w:t>品学兼优，学习成绩排名前列，综合表现突出，GPA不低于3.0；</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4.</w:t>
            </w:r>
            <w:r>
              <w:rPr>
                <w:rFonts w:hint="eastAsia" w:ascii="仿宋" w:hAnsi="仿宋" w:eastAsia="仿宋" w:cs="宋体"/>
                <w:color w:val="000000" w:themeColor="text1"/>
                <w:shd w:val="clear" w:color="auto" w:fill="FFFFFF"/>
                <w14:textFill>
                  <w14:solidFill>
                    <w14:schemeClr w14:val="tx1"/>
                  </w14:solidFill>
                </w14:textFill>
              </w:rPr>
              <w:t>有英语、西班牙语及葡萄牙语语言成绩者优先。</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课程在三个不同城市的四个不同校区开设（建议学生只在一个城市上课）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坎皮纳斯大学创建于1966年，是拉丁美洲最好的大学之一。其在传统教育和科研方面为巴西社会做出了巨大贡献，在工程技术、健康科学、自然科学、人文科学和艺术领域都十分出众。该校本科生和研究生的比例各占</w:t>
            </w:r>
            <w:r>
              <w:rPr>
                <w:rFonts w:hint="default" w:ascii="仿宋" w:hAnsi="仿宋" w:eastAsia="仿宋" w:cs="宋体"/>
                <w:color w:val="000000" w:themeColor="text1"/>
                <w:shd w:val="clear" w:color="auto" w:fill="FFFFFF"/>
                <w14:textFill>
                  <w14:solidFill>
                    <w14:schemeClr w14:val="tx1"/>
                  </w14:solidFill>
                </w14:textFill>
              </w:rPr>
              <w:t>50%</w:t>
            </w:r>
            <w:r>
              <w:rPr>
                <w:rFonts w:hint="eastAsia" w:ascii="仿宋" w:hAnsi="仿宋" w:eastAsia="仿宋" w:cs="宋体"/>
                <w:color w:val="000000" w:themeColor="text1"/>
                <w:shd w:val="clear" w:color="auto" w:fill="FFFFFF"/>
                <w14:textFill>
                  <w14:solidFill>
                    <w14:schemeClr w14:val="tx1"/>
                  </w14:solidFill>
                </w14:textFill>
              </w:rPr>
              <w:t>，均约</w:t>
            </w:r>
            <w:r>
              <w:rPr>
                <w:rFonts w:hint="default" w:ascii="仿宋" w:hAnsi="仿宋" w:eastAsia="仿宋" w:cs="宋体"/>
                <w:color w:val="000000" w:themeColor="text1"/>
                <w:shd w:val="clear" w:color="auto" w:fill="FFFFFF"/>
                <w14:textFill>
                  <w14:solidFill>
                    <w14:schemeClr w14:val="tx1"/>
                  </w14:solidFill>
                </w14:textFill>
              </w:rPr>
              <w:t>1</w:t>
            </w:r>
            <w:r>
              <w:rPr>
                <w:rFonts w:hint="eastAsia" w:ascii="仿宋" w:hAnsi="仿宋" w:eastAsia="仿宋" w:cs="宋体"/>
                <w:color w:val="000000" w:themeColor="text1"/>
                <w:shd w:val="clear" w:color="auto" w:fill="FFFFFF"/>
                <w14:textFill>
                  <w14:solidFill>
                    <w14:schemeClr w14:val="tx1"/>
                  </w14:solidFill>
                </w14:textFill>
              </w:rPr>
              <w:t>万余名，是全巴西研究生比例最高的一所学校。坎皮纳斯大学负责巴西约</w:t>
            </w:r>
            <w:r>
              <w:rPr>
                <w:rFonts w:hint="default" w:ascii="仿宋" w:hAnsi="仿宋" w:eastAsia="仿宋" w:cs="宋体"/>
                <w:color w:val="000000" w:themeColor="text1"/>
                <w:shd w:val="clear" w:color="auto" w:fill="FFFFFF"/>
                <w14:textFill>
                  <w14:solidFill>
                    <w14:schemeClr w14:val="tx1"/>
                  </w14:solidFill>
                </w14:textFill>
              </w:rPr>
              <w:t>15%</w:t>
            </w:r>
            <w:r>
              <w:rPr>
                <w:rFonts w:hint="eastAsia" w:ascii="仿宋" w:hAnsi="仿宋" w:eastAsia="仿宋" w:cs="宋体"/>
                <w:color w:val="000000" w:themeColor="text1"/>
                <w:shd w:val="clear" w:color="auto" w:fill="FFFFFF"/>
                <w14:textFill>
                  <w14:solidFill>
                    <w14:schemeClr w14:val="tx1"/>
                  </w14:solidFill>
                </w14:textFill>
              </w:rPr>
              <w:t>的研究，产出了比巴西其他研究机构都多的专利，仅次于巴西国家石油公司。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p>
            <w:pPr>
              <w:rPr>
                <w:rFonts w:hint="eastAsia" w:ascii="仿宋" w:hAnsi="仿宋" w:eastAsia="仿宋" w:cs="宋体"/>
                <w:color w:val="000000" w:themeColor="text1"/>
                <w:sz w:val="24"/>
                <w:lang w:eastAsia="zh-CN"/>
                <w14:textFill>
                  <w14:solidFill>
                    <w14:schemeClr w14:val="tx1"/>
                  </w14:solidFill>
                </w14:textFill>
              </w:rPr>
            </w:pP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5" w:name="_Toc16778"/>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西班牙马德里理工大学</w:t>
      </w:r>
      <w:bookmarkEnd w:id="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德里理工大学始建于1971年，是西班牙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西班牙马德里自治区，其大部分校区位于自治区首府也是西班牙的首都马德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hint="eastAsia" w:ascii="仿宋" w:hAnsi="仿宋" w:eastAsia="仿宋" w:cs="宋体"/>
                <w:sz w:val="24"/>
                <w:lang w:eastAsia="zh-CN"/>
              </w:rPr>
            </w:pPr>
            <w:r>
              <w:rPr>
                <w:rFonts w:hint="eastAsia" w:ascii="仿宋" w:hAnsi="仿宋" w:eastAsia="仿宋" w:cs="宋体"/>
                <w:sz w:val="24"/>
              </w:rPr>
              <w:t>电话：010-6177</w:t>
            </w:r>
            <w:r>
              <w:rPr>
                <w:rFonts w:hint="eastAsia" w:ascii="仿宋" w:hAnsi="仿宋" w:eastAsia="仿宋" w:cs="宋体"/>
                <w:sz w:val="24"/>
                <w:lang w:eastAsia="zh-CN"/>
              </w:rPr>
              <w:t>2342</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hint="eastAsia" w:ascii="仿宋" w:hAnsi="仿宋" w:eastAsia="仿宋" w:cs="宋体"/>
                <w:sz w:val="24"/>
                <w:lang w:eastAsia="zh-CN"/>
              </w:rPr>
            </w:pPr>
            <w:r>
              <w:rPr>
                <w:rFonts w:hint="eastAsia" w:ascii="仿宋" w:hAnsi="仿宋" w:eastAsia="仿宋" w:cs="宋体"/>
                <w:sz w:val="24"/>
              </w:rPr>
              <w:t>联系人：</w:t>
            </w:r>
            <w:r>
              <w:rPr>
                <w:rFonts w:hint="eastAsia" w:ascii="仿宋" w:hAnsi="仿宋" w:eastAsia="仿宋" w:cs="宋体"/>
                <w:sz w:val="24"/>
                <w:lang w:eastAsia="zh-CN"/>
              </w:rPr>
              <w:t>张大超</w:t>
            </w:r>
          </w:p>
          <w:p>
            <w:pPr>
              <w:rPr>
                <w:rFonts w:hint="eastAsia" w:ascii="仿宋" w:hAnsi="仿宋" w:eastAsia="仿宋" w:cs="宋体"/>
                <w:sz w:val="24"/>
                <w:lang w:eastAsia="zh-CN"/>
              </w:rPr>
            </w:pPr>
            <w:r>
              <w:rPr>
                <w:rFonts w:hint="eastAsia" w:ascii="仿宋" w:hAnsi="仿宋" w:eastAsia="仿宋" w:cs="宋体"/>
                <w:sz w:val="24"/>
              </w:rPr>
              <w:t>电话：</w:t>
            </w:r>
            <w:r>
              <w:rPr>
                <w:rFonts w:hint="eastAsia" w:ascii="仿宋" w:hAnsi="仿宋" w:eastAsia="仿宋" w:cs="宋体"/>
                <w:sz w:val="24"/>
                <w:lang w:eastAsia="zh-CN"/>
              </w:rPr>
              <w:t>0312-7522207</w:t>
            </w:r>
          </w:p>
          <w:p>
            <w:pPr>
              <w:rPr>
                <w:rFonts w:hint="eastAsia" w:ascii="仿宋" w:hAnsi="仿宋" w:eastAsia="仿宋" w:cs="宋体"/>
                <w:sz w:val="24"/>
                <w:lang w:eastAsia="zh-CN"/>
              </w:rPr>
            </w:pPr>
            <w:r>
              <w:rPr>
                <w:rFonts w:hint="eastAsia" w:ascii="仿宋" w:hAnsi="仿宋" w:eastAsia="仿宋" w:cs="宋体"/>
                <w:sz w:val="24"/>
              </w:rPr>
              <w:t>地址：</w:t>
            </w:r>
            <w:r>
              <w:rPr>
                <w:rFonts w:hint="eastAsia" w:ascii="仿宋" w:hAnsi="仿宋" w:eastAsia="仿宋" w:cs="宋体"/>
                <w:sz w:val="24"/>
                <w:lang w:eastAsia="zh-CN"/>
              </w:rPr>
              <w:t>综合楼709</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lang w:eastAsia="zh-CN"/>
          <w14:textFill>
            <w14:solidFill>
              <w14:schemeClr w14:val="tx1">
                <w14:lumMod w14:val="75000"/>
                <w14:lumOff w14:val="25000"/>
              </w14:schemeClr>
            </w14:solidFill>
          </w14:textFill>
        </w:rPr>
      </w:pPr>
    </w:p>
    <w:p>
      <w:pPr>
        <w:pStyle w:val="4"/>
        <w:jc w:val="center"/>
        <w:rPr>
          <w:rFonts w:ascii="仿宋" w:hAnsi="仿宋" w:eastAsia="仿宋" w:cs="宋体"/>
          <w:b w:val="0"/>
          <w:bCs/>
          <w:sz w:val="36"/>
          <w:szCs w:val="36"/>
          <w:shd w:val="clear" w:color="auto" w:fill="FFFFFF"/>
        </w:rPr>
      </w:pPr>
      <w:bookmarkStart w:id="6" w:name="_Toc9080"/>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波兰弗罗茨瓦夫理工大学</w:t>
      </w:r>
      <w:bookmarkEnd w:id="6"/>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rPr>
            </w:pPr>
            <w:r>
              <w:rPr>
                <w:rFonts w:hint="eastAsia" w:ascii="仿宋" w:hAnsi="仿宋" w:eastAsia="仿宋" w:cs="宋体"/>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rPr>
            </w:pPr>
            <w:r>
              <w:rPr>
                <w:rFonts w:ascii="仿宋" w:hAnsi="仿宋" w:eastAsia="仿宋"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rPr>
            </w:pPr>
            <w:r>
              <w:rPr>
                <w:rFonts w:hint="eastAsia" w:ascii="仿宋" w:hAnsi="仿宋" w:eastAsia="仿宋" w:cs="宋体"/>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27"/>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27"/>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pPr>
              <w:pStyle w:val="27"/>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7" w:name="_Toc546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克罗地亚萨格勒布大学</w:t>
      </w:r>
      <w:bookmarkEnd w:id="7"/>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控制与计算机学院，电气与电子工程学院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水平，获通过语言面试。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lang w:bidi="ar"/>
                <w14:textFill>
                  <w14:solidFill>
                    <w14:schemeClr w14:val="tx1"/>
                  </w14:solidFill>
                </w14:textFill>
              </w:rPr>
              <w:t>萨格勒布大学位于克罗地亚首都萨格勒布，学校拥有7900名教师，70000余名学生。该校成立于1669年，是维也纳以南的中欧地区和欧洲东南部地区最古老的一所大学。同时，该校也是克罗地亚最大的一所大学。萨格勒布大学是一所全科综合性大学，学校设有全科学领域教研专业，包括艺术、生物医学、生物工程、工程学、人文科学、自然科学与社会科学。萨格勒布大学设有从本科到研究生阶段专业课程，共涵盖29个系所，3个艺术中心。萨格勒布大学是克罗地亚的研究中心，是国家教育机构的一面旗帜。</w:t>
            </w:r>
            <w:r>
              <w:rPr>
                <w:rFonts w:hint="eastAsia" w:ascii="仿宋" w:hAnsi="仿宋" w:eastAsia="仿宋" w:cs="宋体"/>
                <w:color w:val="000000" w:themeColor="text1"/>
                <w:sz w:val="24"/>
                <w14:textFill>
                  <w14:solidFill>
                    <w14:schemeClr w14:val="tx1"/>
                  </w14:solidFill>
                </w14:textFill>
              </w:rPr>
              <w:t>自1874年以来，萨格勒布大学共计培养超过20万名本科生，1万8千名硕士和8千名博士。2018世界大学排名（CWUR）位列第463名。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bookmarkStart w:id="8" w:name="_Toc32478"/>
    </w:p>
    <w:p>
      <w:pPr>
        <w:pStyle w:val="4"/>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俄罗斯乌拉尔国立经济</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8"/>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27"/>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更多内容可查询官网：https://abit.usue.ru/baza-profilej-bakalavriat/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keepNext w:val="0"/>
              <w:keepLines w:val="0"/>
              <w:widowControl/>
              <w:suppressLineNumbers w:val="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俄罗斯乌拉尔国立经济大学简介:俄罗斯乌拉尔国立经济大学（The Ural State University of Economics，简称USUE），成立于1967年，位于</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教育部的指示下，以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全日制教育</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为基础，开设本科、</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硕士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及</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博士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相关专业。2015年，俄罗斯乌拉尔国立经济大学加入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“一带一路”高校战略联盟</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。学校主页：</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"https://en.usue.ru/" \t "https://mail.qq.com/cgi-bin/_blank"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en.usue.ru</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张大超</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0312-7522207</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9" w:name="_Toc12864"/>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韩国首尔市立大学</w:t>
      </w:r>
      <w:bookmarkEnd w:id="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0" w:name="_Toc11"/>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韩国庆北大学</w:t>
      </w:r>
      <w:bookmarkEnd w:id="1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每年选拔2名优秀本科生或研究生进行一学期的学习。学生学习结束后，可将相关学分转换回我校。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Style w:val="33"/>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1" w:name="_Toc30660"/>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韩国淑明女子大学</w:t>
      </w:r>
      <w:bookmarkEnd w:id="1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hint="eastAsia" w:ascii="仿宋" w:hAnsi="仿宋" w:eastAsia="仿宋"/>
          <w:color w:val="000000"/>
          <w:sz w:val="36"/>
          <w:szCs w:val="36"/>
          <w14:textFill>
            <w14:solidFill>
              <w14:srgbClr w14:val="000000">
                <w14:lumMod w14:val="75000"/>
                <w14:lumOff w14:val="25000"/>
              </w14:srgbClr>
            </w14:solidFill>
          </w14:textFill>
        </w:rPr>
      </w:pPr>
    </w:p>
    <w:p>
      <w:pPr>
        <w:pStyle w:val="4"/>
        <w:ind w:firstLine="3253" w:firstLineChars="900"/>
        <w:jc w:val="both"/>
        <w:rPr>
          <w:rFonts w:hint="eastAsia" w:ascii="仿宋" w:hAnsi="仿宋" w:eastAsia="仿宋"/>
          <w:color w:val="000000"/>
          <w:sz w:val="36"/>
          <w:szCs w:val="36"/>
          <w14:textFill>
            <w14:solidFill>
              <w14:srgbClr w14:val="000000">
                <w14:lumMod w14:val="75000"/>
                <w14:lumOff w14:val="25000"/>
              </w14:srgbClr>
            </w14:solidFill>
          </w14:textFill>
        </w:rPr>
      </w:pPr>
    </w:p>
    <w:p>
      <w:pPr>
        <w:pStyle w:val="4"/>
        <w:ind w:firstLine="3253" w:firstLineChars="900"/>
        <w:jc w:val="both"/>
        <w:rPr>
          <w:rFonts w:hint="eastAsia" w:ascii="仿宋" w:hAnsi="仿宋" w:eastAsia="仿宋"/>
          <w:color w:val="000000"/>
          <w:sz w:val="36"/>
          <w:szCs w:val="36"/>
          <w14:textFill>
            <w14:solidFill>
              <w14:srgbClr w14:val="000000">
                <w14:lumMod w14:val="75000"/>
                <w14:lumOff w14:val="25000"/>
              </w14:srgbClr>
            </w14:solidFill>
          </w14:textFill>
        </w:rPr>
      </w:pPr>
    </w:p>
    <w:p>
      <w:pPr>
        <w:rPr>
          <w:rFonts w:hint="eastAsia" w:ascii="仿宋" w:hAnsi="仿宋" w:eastAsia="仿宋"/>
          <w:color w:val="000000"/>
          <w:sz w:val="36"/>
          <w:szCs w:val="36"/>
          <w14:textFill>
            <w14:solidFill>
              <w14:srgbClr w14:val="000000">
                <w14:lumMod w14:val="75000"/>
                <w14:lumOff w14:val="25000"/>
              </w14:srgbClr>
            </w14:solidFill>
          </w14:textFill>
        </w:rPr>
      </w:pPr>
    </w:p>
    <w:p>
      <w:pPr>
        <w:rPr>
          <w:rFonts w:hint="eastAsia" w:ascii="仿宋" w:hAnsi="仿宋" w:eastAsia="仿宋"/>
          <w:color w:val="000000"/>
          <w:sz w:val="36"/>
          <w:szCs w:val="36"/>
          <w14:textFill>
            <w14:solidFill>
              <w14:srgbClr w14:val="000000">
                <w14:lumMod w14:val="75000"/>
                <w14:lumOff w14:val="25000"/>
              </w14:srgbClr>
            </w14:solidFill>
          </w14:textFill>
        </w:rPr>
      </w:pPr>
    </w:p>
    <w:p>
      <w:pPr>
        <w:pStyle w:val="4"/>
        <w:jc w:val="center"/>
        <w:rPr>
          <w:rFonts w:ascii="仿宋" w:hAnsi="仿宋" w:eastAsia="仿宋"/>
          <w:color w:val="000000"/>
          <w:sz w:val="36"/>
          <w:szCs w:val="36"/>
          <w14:textFill>
            <w14:solidFill>
              <w14:srgbClr w14:val="000000">
                <w14:lumMod w14:val="75000"/>
                <w14:lumOff w14:val="25000"/>
              </w14:srgbClr>
            </w14:solidFill>
          </w14:textFill>
        </w:rPr>
      </w:pPr>
      <w:bookmarkStart w:id="12" w:name="_Toc25207"/>
      <w:r>
        <w:rPr>
          <w:rFonts w:hint="eastAsia" w:ascii="仿宋" w:hAnsi="仿宋" w:eastAsia="仿宋"/>
          <w:color w:val="000000"/>
          <w:sz w:val="36"/>
          <w:szCs w:val="36"/>
          <w14:textFill>
            <w14:solidFill>
              <w14:srgbClr w14:val="000000">
                <w14:lumMod w14:val="75000"/>
                <w14:lumOff w14:val="25000"/>
              </w14:srgbClr>
            </w14:solidFill>
          </w14:textFill>
        </w:rPr>
        <w:t>韩国祥明大学</w:t>
      </w:r>
      <w:bookmarkEnd w:id="12"/>
    </w:p>
    <w:tbl>
      <w:tblPr>
        <w:tblStyle w:val="3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项目内容</w:t>
            </w:r>
          </w:p>
        </w:tc>
        <w:tc>
          <w:tcPr>
            <w:tcW w:w="6504" w:type="dxa"/>
            <w:vAlign w:val="center"/>
          </w:tcPr>
          <w:p>
            <w:pPr>
              <w:pStyle w:val="27"/>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每年选派2名优秀本科生或研究生到对方进行一学期或一学年的学习。学习结束后，可将相关学分转换回我校。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选派专业</w:t>
            </w:r>
          </w:p>
        </w:tc>
        <w:tc>
          <w:tcPr>
            <w:tcW w:w="6504" w:type="dxa"/>
            <w:vAlign w:val="center"/>
          </w:tcPr>
          <w:p>
            <w:pPr>
              <w:pStyle w:val="27"/>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专业不限。外方为留学生开设收费韩语学习课程详情请参考http://cklc.smu.ac.kr/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选派类别</w:t>
            </w:r>
          </w:p>
        </w:tc>
        <w:tc>
          <w:tcPr>
            <w:tcW w:w="6504" w:type="dxa"/>
            <w:vAlign w:val="center"/>
          </w:tcPr>
          <w:p>
            <w:pPr>
              <w:pStyle w:val="27"/>
              <w:shd w:val="clear" w:color="auto" w:fill="FFFFFF"/>
              <w:rPr>
                <w:rFonts w:ascii="仿宋" w:hAnsi="仿宋" w:eastAsia="仿宋" w:cs="宋体"/>
                <w:bCs/>
              </w:rPr>
            </w:pPr>
            <w:r>
              <w:rPr>
                <w:rFonts w:hint="eastAsia" w:ascii="仿宋" w:hAnsi="仿宋" w:eastAsia="仿宋" w:cs="宋体"/>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选派人数</w:t>
            </w:r>
          </w:p>
        </w:tc>
        <w:tc>
          <w:tcPr>
            <w:tcW w:w="6504" w:type="dxa"/>
            <w:vAlign w:val="center"/>
          </w:tcPr>
          <w:p>
            <w:pPr>
              <w:pStyle w:val="27"/>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交流期限</w:t>
            </w:r>
          </w:p>
        </w:tc>
        <w:tc>
          <w:tcPr>
            <w:tcW w:w="6504" w:type="dxa"/>
            <w:vAlign w:val="center"/>
          </w:tcPr>
          <w:p>
            <w:pPr>
              <w:rPr>
                <w:rFonts w:ascii="仿宋" w:hAnsi="仿宋" w:eastAsia="仿宋" w:cs="宋体"/>
                <w:bCs/>
                <w:sz w:val="24"/>
              </w:rPr>
            </w:pPr>
            <w:r>
              <w:rPr>
                <w:rFonts w:hint="eastAsia" w:ascii="仿宋" w:hAnsi="仿宋" w:eastAsia="仿宋" w:cs="宋体"/>
                <w:bCs/>
                <w:sz w:val="24"/>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申请要求</w:t>
            </w:r>
          </w:p>
        </w:tc>
        <w:tc>
          <w:tcPr>
            <w:tcW w:w="6504" w:type="dxa"/>
            <w:vAlign w:val="center"/>
          </w:tcPr>
          <w:p>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pPr>
              <w:rPr>
                <w:rFonts w:ascii="仿宋" w:hAnsi="仿宋" w:eastAsia="仿宋" w:cs="宋体"/>
                <w:bCs/>
                <w:sz w:val="24"/>
              </w:rPr>
            </w:pPr>
            <w:r>
              <w:rPr>
                <w:rFonts w:hint="eastAsia" w:ascii="仿宋" w:hAnsi="仿宋" w:eastAsia="仿宋" w:cs="宋体"/>
                <w:bCs/>
                <w:sz w:val="24"/>
              </w:rPr>
              <w:t>2. 德、智、体全面发展，综合素质良好。</w:t>
            </w:r>
          </w:p>
          <w:p>
            <w:pPr>
              <w:rPr>
                <w:rFonts w:ascii="仿宋" w:hAnsi="仿宋" w:eastAsia="仿宋" w:cs="宋体"/>
                <w:bCs/>
                <w:sz w:val="24"/>
              </w:rPr>
            </w:pPr>
            <w:r>
              <w:rPr>
                <w:rFonts w:hint="eastAsia" w:ascii="仿宋" w:hAnsi="仿宋" w:eastAsia="仿宋" w:cs="宋体"/>
                <w:bCs/>
                <w:sz w:val="24"/>
              </w:rPr>
              <w:t>3. 成绩要求: 学分绩点3.0及以上。</w:t>
            </w:r>
          </w:p>
          <w:p>
            <w:pPr>
              <w:rPr>
                <w:rFonts w:ascii="仿宋" w:hAnsi="仿宋" w:eastAsia="仿宋" w:cs="宋体"/>
                <w:bCs/>
                <w:sz w:val="24"/>
              </w:rPr>
            </w:pPr>
            <w:r>
              <w:rPr>
                <w:rFonts w:hint="eastAsia" w:ascii="仿宋" w:hAnsi="仿宋" w:eastAsia="仿宋" w:cs="宋体"/>
                <w:bCs/>
                <w:sz w:val="24"/>
              </w:rPr>
              <w:t>4. 外语要求：建议提供相关外语成绩证明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院校简介</w:t>
            </w:r>
          </w:p>
        </w:tc>
        <w:tc>
          <w:tcPr>
            <w:tcW w:w="6504" w:type="dxa"/>
            <w:vAlign w:val="center"/>
          </w:tcPr>
          <w:p>
            <w:pPr>
              <w:pStyle w:val="27"/>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hint="eastAsia" w:ascii="仿宋" w:hAnsi="仿宋" w:eastAsia="仿宋" w:cs="宋体"/>
                <w:sz w:val="24"/>
                <w:lang w:eastAsia="zh-CN"/>
              </w:rPr>
            </w:pPr>
            <w:r>
              <w:rPr>
                <w:rFonts w:hint="eastAsia" w:ascii="仿宋" w:hAnsi="仿宋" w:eastAsia="仿宋" w:cs="宋体"/>
                <w:sz w:val="24"/>
              </w:rPr>
              <w:t>电话：010-6177</w:t>
            </w:r>
            <w:r>
              <w:rPr>
                <w:rFonts w:hint="eastAsia" w:ascii="仿宋" w:hAnsi="仿宋" w:eastAsia="仿宋" w:cs="宋体"/>
                <w:sz w:val="24"/>
                <w:lang w:eastAsia="zh-CN"/>
              </w:rPr>
              <w:t>2342</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sz w:val="24"/>
                <w:lang w:eastAsia="zh-CN"/>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ascii="仿宋" w:hAnsi="仿宋" w:eastAsia="仿宋"/>
          <w:color w:val="000000"/>
          <w:sz w:val="36"/>
          <w:szCs w:val="36"/>
          <w14:textFill>
            <w14:solidFill>
              <w14:srgbClr w14:val="000000">
                <w14:lumMod w14:val="75000"/>
                <w14:lumOff w14:val="25000"/>
              </w14:srgbClr>
            </w14:solidFill>
          </w14:textFill>
        </w:rPr>
      </w:pPr>
    </w:p>
    <w:p>
      <w:pPr>
        <w:rPr>
          <w:rFonts w:hint="eastAsia" w:ascii="仿宋" w:hAnsi="仿宋" w:eastAsia="仿宋"/>
          <w:color w:val="000000"/>
          <w:sz w:val="36"/>
          <w:szCs w:val="36"/>
          <w:highlight w:val="none"/>
          <w:lang w:eastAsia="zh-CN"/>
          <w14:textFill>
            <w14:solidFill>
              <w14:srgbClr w14:val="000000">
                <w14:lumMod w14:val="75000"/>
                <w14:lumOff w14:val="25000"/>
              </w14:srgbClr>
            </w14:solidFill>
          </w14:textFill>
        </w:rPr>
      </w:pPr>
    </w:p>
    <w:p>
      <w:pPr>
        <w:pStyle w:val="4"/>
        <w:jc w:val="center"/>
        <w:rPr>
          <w:rFonts w:hint="eastAsia" w:ascii="仿宋" w:hAnsi="仿宋" w:eastAsia="仿宋"/>
          <w:color w:val="000000"/>
          <w:sz w:val="36"/>
          <w:szCs w:val="36"/>
          <w:highlight w:val="none"/>
          <w14:textFill>
            <w14:solidFill>
              <w14:srgbClr w14:val="000000">
                <w14:lumMod w14:val="75000"/>
                <w14:lumOff w14:val="25000"/>
              </w14:srgbClr>
            </w14:solidFill>
          </w14:textFill>
        </w:rPr>
      </w:pPr>
    </w:p>
    <w:p>
      <w:pPr>
        <w:pStyle w:val="4"/>
        <w:jc w:val="center"/>
        <w:rPr>
          <w:rFonts w:ascii="仿宋" w:hAnsi="仿宋" w:eastAsia="仿宋"/>
          <w:color w:val="000000"/>
          <w:sz w:val="36"/>
          <w:szCs w:val="36"/>
          <w:highlight w:val="none"/>
          <w14:textFill>
            <w14:solidFill>
              <w14:srgbClr w14:val="000000">
                <w14:lumMod w14:val="75000"/>
                <w14:lumOff w14:val="25000"/>
              </w14:srgbClr>
            </w14:solidFill>
          </w14:textFill>
        </w:rPr>
      </w:pPr>
      <w:bookmarkStart w:id="13" w:name="_Toc3382"/>
      <w:r>
        <w:rPr>
          <w:rFonts w:hint="eastAsia" w:ascii="仿宋" w:hAnsi="仿宋" w:eastAsia="仿宋"/>
          <w:color w:val="000000"/>
          <w:sz w:val="36"/>
          <w:szCs w:val="36"/>
          <w:highlight w:val="none"/>
          <w14:textFill>
            <w14:solidFill>
              <w14:srgbClr w14:val="000000">
                <w14:lumMod w14:val="75000"/>
                <w14:lumOff w14:val="25000"/>
              </w14:srgbClr>
            </w14:solidFill>
          </w14:textFill>
        </w:rPr>
        <w:t>韩国光云大学</w:t>
      </w:r>
      <w:bookmarkEnd w:id="1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shd w:val="clear" w:color="auto" w:fill="FFFFFF"/>
              </w:rPr>
              <w:t>项目内容</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shd w:val="clear" w:color="auto" w:fill="FFFFFF"/>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选派专业</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选派类别</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选派人数</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交流期限</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所需费用</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免学费，1学期所有生活费用大约为20000人民币</w:t>
            </w:r>
          </w:p>
          <w:p>
            <w:pPr>
              <w:pStyle w:val="27"/>
              <w:widowControl/>
              <w:rPr>
                <w:rFonts w:ascii="仿宋" w:hAnsi="仿宋" w:eastAsia="仿宋" w:cs="宋体"/>
                <w:highlight w:val="none"/>
              </w:rPr>
            </w:pPr>
            <w:r>
              <w:rPr>
                <w:rFonts w:hint="eastAsia" w:ascii="仿宋" w:hAnsi="仿宋" w:eastAsia="仿宋" w:cs="宋体"/>
                <w:highlight w:val="none"/>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申请条件</w:t>
            </w:r>
          </w:p>
        </w:tc>
        <w:tc>
          <w:tcPr>
            <w:tcW w:w="6515" w:type="dxa"/>
          </w:tcPr>
          <w:p>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（1）热爱祖国，具有良好的政治思想素质，在校期间无违法违纪记录；</w:t>
            </w:r>
          </w:p>
          <w:p>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（2）身心健康，无不适合在外学习的疾病史；</w:t>
            </w:r>
          </w:p>
          <w:p>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（3）品学兼优，学习成绩排名前列，综合表现突出；</w:t>
            </w:r>
          </w:p>
          <w:p>
            <w:pPr>
              <w:pStyle w:val="27"/>
              <w:widowControl/>
              <w:shd w:val="clear" w:color="auto" w:fill="FFFFFF"/>
              <w:rPr>
                <w:rFonts w:hint="default" w:ascii="仿宋" w:hAnsi="仿宋" w:eastAsia="仿宋" w:cs="宋体"/>
                <w:highlight w:val="none"/>
                <w:lang w:val="en-US" w:eastAsia="zh-CN"/>
              </w:rPr>
            </w:pPr>
            <w:r>
              <w:rPr>
                <w:rFonts w:hint="eastAsia" w:ascii="仿宋" w:hAnsi="仿宋" w:eastAsia="仿宋" w:cs="宋体"/>
                <w:highlight w:val="none"/>
                <w:shd w:val="clear" w:color="auto" w:fill="FFFFFF"/>
              </w:rPr>
              <w:t>（4）</w:t>
            </w:r>
            <w:r>
              <w:rPr>
                <w:rFonts w:hint="eastAsia" w:ascii="仿宋" w:hAnsi="仿宋" w:eastAsia="仿宋" w:cs="宋体"/>
                <w:highlight w:val="none"/>
                <w:shd w:val="clear" w:color="auto" w:fill="FFFFFF"/>
                <w:lang w:val="en-US" w:eastAsia="zh-CN"/>
              </w:rPr>
              <w:t>英语托福成绩达61分或雅思5.0或TOPIK4分或修完两门韩语课程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交流院系介绍</w:t>
            </w:r>
          </w:p>
        </w:tc>
        <w:tc>
          <w:tcPr>
            <w:tcW w:w="6515" w:type="dxa"/>
          </w:tcPr>
          <w:p>
            <w:pPr>
              <w:pStyle w:val="27"/>
              <w:widowControl/>
              <w:shd w:val="clear" w:color="auto" w:fill="FFFFFF"/>
              <w:rPr>
                <w:rFonts w:ascii="仿宋" w:hAnsi="仿宋" w:eastAsia="仿宋" w:cs="宋体"/>
                <w:highlight w:val="none"/>
              </w:rPr>
            </w:pPr>
            <w:r>
              <w:rPr>
                <w:rFonts w:hint="eastAsia" w:ascii="仿宋" w:hAnsi="仿宋" w:eastAsia="仿宋" w:cs="宋体"/>
                <w:spacing w:val="8"/>
                <w:highlight w:val="none"/>
                <w:shd w:val="clear" w:color="auto" w:fill="FFFFFF"/>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张大超</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0312-7522207</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综合楼709</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4" w:name="_Toc2742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韩国汉城大学</w:t>
      </w:r>
      <w:bookmarkEnd w:id="1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5" w:name="_Toc6868"/>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韩国韩巴大学</w:t>
      </w:r>
      <w:bookmarkEnd w:id="1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both"/>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6" w:name="_Toc9597"/>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意大利比萨</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1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5人1学期或10人1学年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交</w:t>
            </w:r>
            <w:r>
              <w:rPr>
                <w:rFonts w:hint="eastAsia" w:ascii="仿宋" w:hAnsi="仿宋" w:eastAsia="仿宋" w:cs="宋体"/>
                <w:color w:val="000000" w:themeColor="text1"/>
                <w:spacing w:val="8"/>
                <w:shd w:val="clear" w:color="auto" w:fill="FFFFFF"/>
                <w14:textFill>
                  <w14:solidFill>
                    <w14:schemeClr w14:val="tx1"/>
                  </w14:solidFill>
                </w14:textFill>
              </w:rPr>
              <w:t>学费</w:t>
            </w:r>
            <w:r>
              <w:rPr>
                <w:rFonts w:hint="eastAsia" w:ascii="仿宋" w:hAnsi="仿宋" w:eastAsia="仿宋" w:cs="宋体"/>
                <w:color w:val="000000" w:themeColor="text1"/>
                <w:spacing w:val="8"/>
                <w:shd w:val="clear" w:color="auto" w:fill="FFFFFF"/>
                <w:lang w:eastAsia="zh-CN"/>
                <w14:textFill>
                  <w14:solidFill>
                    <w14:schemeClr w14:val="tx1"/>
                  </w14:solidFill>
                </w14:textFill>
              </w:rPr>
              <w:t>，</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需自行支付生活费、交通费、食宿费、书本费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比萨大学，欧洲的著名学府，是一所学术与研究极其出色的大学，在世界上享有盛誉。官方宣称的创建时间为1343年9月3日，但是其历史可上溯到11世纪。比萨大学是大学研究协会(URA)唯一意大利成员;比萨大学是精英化教育体制，拥有比萨高师及比萨圣安娜高等学院，三校师资共享，教学质量有很高保障;并且是欧洲唯一一所进入“大学研究学会”的科研型大学。比萨大学拥有伽利略这样的科学巨匠，且在其著名的毕业生中，有几位国内外政治领袖，包括两位意大利总统，五位教皇，五位意大利总理和三位诺贝尔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29"/>
        <w:jc w:val="both"/>
        <w:rPr>
          <w:rFonts w:hint="eastAsia" w:ascii="仿宋" w:hAnsi="仿宋" w:eastAsia="仿宋"/>
          <w:sz w:val="40"/>
        </w:rPr>
      </w:pPr>
    </w:p>
    <w:p>
      <w:pPr>
        <w:rPr>
          <w:rFonts w:hint="eastAsia"/>
        </w:rPr>
      </w:pPr>
    </w:p>
    <w:p>
      <w:pPr>
        <w:pStyle w:val="29"/>
        <w:rPr>
          <w:rFonts w:ascii="仿宋" w:hAnsi="仿宋" w:eastAsia="仿宋"/>
          <w:sz w:val="40"/>
        </w:rPr>
      </w:pPr>
      <w:bookmarkStart w:id="17" w:name="_Toc8476"/>
      <w:r>
        <w:rPr>
          <w:rFonts w:hint="eastAsia" w:ascii="仿宋" w:hAnsi="仿宋" w:eastAsia="仿宋"/>
          <w:sz w:val="40"/>
        </w:rPr>
        <w:t>自费项目</w:t>
      </w:r>
      <w:bookmarkEnd w:id="17"/>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8" w:name="_Toc26812"/>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捷克技术大学</w:t>
      </w:r>
      <w:bookmarkEnd w:id="1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rPr>
              <w:t>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学费每学期约为</w:t>
            </w:r>
            <w:r>
              <w:rPr>
                <w:rFonts w:ascii="仿宋" w:hAnsi="仿宋" w:eastAsia="仿宋" w:cs="宋体"/>
                <w:color w:val="000000" w:themeColor="text1"/>
                <w14:textFill>
                  <w14:solidFill>
                    <w14:schemeClr w14:val="tx1"/>
                  </w14:solidFill>
                </w14:textFill>
              </w:rPr>
              <w:t>1650</w:t>
            </w:r>
            <w:r>
              <w:rPr>
                <w:rFonts w:hint="eastAsia" w:ascii="仿宋" w:hAnsi="仿宋" w:eastAsia="仿宋" w:cs="宋体"/>
                <w:color w:val="000000" w:themeColor="text1"/>
                <w14:textFill>
                  <w14:solidFill>
                    <w14:schemeClr w14:val="tx1"/>
                  </w14:solidFill>
                </w14:textFill>
              </w:rPr>
              <w:t>欧元</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请咨询捷克技术大学官网</w:t>
            </w:r>
            <w:r>
              <w:fldChar w:fldCharType="begin"/>
            </w:r>
            <w:r>
              <w:instrText xml:space="preserve"> HYPERLINK "http://www.baidu.com/link?url=ZEVf4AyPgeL1qlOi-8NYLvDJ-rjZ_NrqAS_G1x-OhM3" \t "_blank" </w:instrText>
            </w:r>
            <w:r>
              <w:fldChar w:fldCharType="separate"/>
            </w:r>
            <w:r>
              <w:rPr>
                <w:rStyle w:val="35"/>
                <w:rFonts w:ascii="仿宋" w:hAnsi="仿宋" w:eastAsia="仿宋" w:cs="Arial"/>
                <w:color w:val="000000" w:themeColor="text1"/>
                <w:sz w:val="20"/>
                <w:szCs w:val="20"/>
                <w:shd w:val="clear" w:color="auto" w:fill="FFFFFF"/>
                <w14:textFill>
                  <w14:solidFill>
                    <w14:schemeClr w14:val="tx1"/>
                  </w14:solidFill>
                </w14:textFill>
              </w:rPr>
              <w:t>https://www.cvut.cz/</w:t>
            </w:r>
            <w:r>
              <w:rPr>
                <w:rStyle w:val="35"/>
                <w:rFonts w:ascii="仿宋" w:hAnsi="仿宋" w:eastAsia="仿宋" w:cs="Arial"/>
                <w:color w:val="000000" w:themeColor="text1"/>
                <w:sz w:val="20"/>
                <w:szCs w:val="20"/>
                <w:shd w:val="clear" w:color="auto" w:fill="FFFFFF"/>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（4）较强的英语沟通能力，雅思托福达到欧洲要求b2以上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捷克技术大学是中欧最古老技术大学，工科的教育在捷克有相当长时间的传统。她的前身是1806年成立的工业学院。该校于1920年被核准为大学并更名为捷克技术大学。捷克技术大学是著名的理工科大学，历史悠久，教学科研能力强，捷克技术大学已经跻身于欧洲一流理工大学之列。捷克技术大学的电气工程学院（</w:t>
            </w:r>
            <w:r>
              <w:rPr>
                <w:rFonts w:ascii="仿宋" w:hAnsi="仿宋" w:eastAsia="仿宋" w:cs="宋体"/>
                <w:color w:val="000000" w:themeColor="text1"/>
                <w:sz w:val="24"/>
                <w:shd w:val="clear" w:color="auto" w:fill="FFFFFF"/>
                <w14:textFill>
                  <w14:solidFill>
                    <w14:schemeClr w14:val="tx1"/>
                  </w14:solidFill>
                </w14:textFill>
              </w:rPr>
              <w:t>F</w:t>
            </w:r>
            <w:r>
              <w:rPr>
                <w:rFonts w:hint="eastAsia" w:ascii="仿宋" w:hAnsi="仿宋" w:eastAsia="仿宋" w:cs="宋体"/>
                <w:color w:val="000000" w:themeColor="text1"/>
                <w:sz w:val="24"/>
                <w:shd w:val="clear" w:color="auto" w:fill="FFFFFF"/>
                <w14:textFill>
                  <w14:solidFill>
                    <w14:schemeClr w14:val="tx1"/>
                  </w14:solidFill>
                </w14:textFill>
              </w:rPr>
              <w:t>aculty of EE）是该领域全球五大研发和教学机构之一。电力牵引与控制是捷克技术大学教学和科研的强项学科。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9" w:name="_Toc17807"/>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英国利物浦</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19"/>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2161" w:type="dxa"/>
          </w:tcPr>
          <w:p>
            <w:pPr>
              <w:pStyle w:val="27"/>
              <w:widowControl/>
              <w:rPr>
                <w:rFonts w:ascii="仿宋" w:hAnsi="仿宋" w:eastAsia="仿宋" w:cs="宋体"/>
                <w:color w:val="000000" w:themeColor="text1"/>
                <w14:textFill>
                  <w14:solidFill>
                    <w14:schemeClr w14:val="tx1"/>
                  </w14:solidFill>
                </w14:textFill>
              </w:rPr>
            </w:pPr>
            <w:bookmarkStart w:id="20" w:name="_Hlk24745797"/>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选拔优秀本科生赴</w:t>
            </w:r>
            <w:r>
              <w:rPr>
                <w:rFonts w:hint="eastAsia" w:ascii="仿宋" w:hAnsi="仿宋" w:eastAsia="仿宋" w:cs="宋体"/>
                <w:color w:val="000000" w:themeColor="text1"/>
                <w:spacing w:val="15"/>
                <w:lang w:val="en-US" w:eastAsia="zh-CN"/>
                <w14:textFill>
                  <w14:solidFill>
                    <w14:schemeClr w14:val="tx1"/>
                  </w14:solidFill>
                </w14:textFill>
              </w:rPr>
              <w:t>利物浦</w:t>
            </w:r>
            <w:r>
              <w:rPr>
                <w:rFonts w:hint="eastAsia" w:ascii="仿宋" w:hAnsi="仿宋" w:eastAsia="仿宋" w:cs="宋体"/>
                <w:color w:val="000000" w:themeColor="text1"/>
                <w:spacing w:val="15"/>
                <w14:textFill>
                  <w14:solidFill>
                    <w14:schemeClr w14:val="tx1"/>
                  </w14:solidFill>
                </w14:textFill>
              </w:rPr>
              <w:t>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专业不限，有对应课程即可报名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2人，</w:t>
            </w:r>
            <w:r>
              <w:rPr>
                <w:rFonts w:hint="eastAsia" w:ascii="仿宋" w:hAnsi="仿宋" w:eastAsia="仿宋" w:cs="宋体"/>
                <w:color w:val="000000" w:themeColor="text1"/>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9650英镑(学期)，17700英镑(全年)。</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来自合作伙伴的学生可享受10%的学费折扣，即8685英镑(学期)，15930英镑(全年)。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1.热爱祖国，具有良好的政治思想素质，在校期间无违法违纪记录</w:t>
            </w:r>
          </w:p>
          <w:p>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2.身心健康，无不适合在外学习的疾病史</w:t>
            </w:r>
          </w:p>
          <w:p>
            <w:pPr>
              <w:pStyle w:val="27"/>
              <w:widowControl/>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3.品学兼优，学习成绩排名前列，综合表现突出，GPA不低于3.0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利物浦大学（University of Liverpool），始建于1881年，位于英国利物浦，是一所公立研究型大学。英国利物浦是一所美丽的港口城市，在英格兰西北部，人口439476。距伦敦189英里，曼彻斯特28英里，格拉斯哥213英里。利物浦大学是红砖大学之一、罗素大学集团创始成员。该校校友及学术人员中共有10位诺贝尔奖得主。利物浦大学在2023年软科世界大学学术排名中全英排名位列9-12名，世界大学排名位列101-150名，在2024年USNEWS世界大学排名中位列146名，在2024年泰晤士高等教育世界大学排名中位列168名，在2024年QS世界大学排名中位列176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北京校部</w:t>
            </w:r>
          </w:p>
          <w:p>
            <w:pP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w:t>
            </w:r>
            <w: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t>任楚颐</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电话：010-61772342</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地点：主D837</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保定校区</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联系人：张大超</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电话：0312-7522207</w:t>
            </w:r>
          </w:p>
          <w:p>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地址：综合楼709</w:t>
            </w:r>
          </w:p>
        </w:tc>
      </w:tr>
      <w:bookmarkEnd w:id="20"/>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1" w:name="OLE_LINK16"/>
    </w:p>
    <w:p>
      <w:pPr>
        <w:pStyle w:val="4"/>
        <w:jc w:val="both"/>
        <w:rPr>
          <w:rFonts w:hint="eastAsia" w:ascii="仿宋" w:hAnsi="仿宋" w:eastAsia="仿宋"/>
          <w:color w:val="404040" w:themeColor="text1" w:themeTint="BF"/>
          <w:sz w:val="36"/>
          <w:szCs w:val="36"/>
          <w:lang w:eastAsia="zh-CN"/>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2" w:name="_Toc1086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美国威斯康星大学密尔沃基分校（毕业设计项目）</w:t>
      </w:r>
      <w:bookmarkEnd w:id="21"/>
      <w:bookmarkEnd w:id="2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color w:val="000000" w:themeColor="text1"/>
                <w14:textFill>
                  <w14:solidFill>
                    <w14:schemeClr w14:val="tx1"/>
                  </w14:solidFill>
                </w14:textFill>
              </w:rPr>
            </w:pPr>
          </w:p>
          <w:p>
            <w:pPr>
              <w:pStyle w:val="27"/>
              <w:widowControl/>
              <w:rPr>
                <w:rFonts w:ascii="仿宋" w:hAnsi="仿宋" w:eastAsia="仿宋" w:cs="宋体"/>
                <w:color w:val="000000" w:themeColor="text1"/>
                <w14:textFill>
                  <w14:solidFill>
                    <w14:schemeClr w14:val="tx1"/>
                  </w14:solidFill>
                </w14:textFill>
              </w:rPr>
            </w:pP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（1）1月底 -5月底在美国威斯康星大学密尔沃基分校完成毕业设计，同时可在该校选择一门课程进行学习。</w:t>
            </w:r>
          </w:p>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（2）5月底在美国威斯康星大学密尔沃基分校进行毕业论文答辩，答辩通过后将获得该校的论文成绩及学分，可转换为我校毕业论文的成绩与学分。所有参加项目的同学须回华电进行毕业论文答辩。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w:t>
            </w:r>
            <w:r>
              <w:rPr>
                <w:rFonts w:hint="eastAsia" w:ascii="仿宋" w:hAnsi="仿宋" w:eastAsia="仿宋" w:cs="宋体"/>
              </w:rPr>
              <w:t>子工程学院、能源动力与机械工程学院、控制与计算机工程学院、</w:t>
            </w:r>
            <w:r>
              <w:rPr>
                <w:rFonts w:hint="eastAsia" w:ascii="仿宋" w:hAnsi="仿宋" w:eastAsia="仿宋" w:cs="宋体"/>
                <w:lang w:eastAsia="zh-Hans"/>
              </w:rPr>
              <w:t>新</w:t>
            </w:r>
            <w:r>
              <w:rPr>
                <w:rFonts w:hint="eastAsia" w:ascii="仿宋" w:hAnsi="仿宋" w:eastAsia="仿宋" w:cs="宋体"/>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申请时为大四全日制在读本科生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1学期（大四下）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学费约7000美金/学期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（3）现就读年级为大四。（这里网站和表格不太一致，表格是现就读年级为大三，网站上是大四学生）</w:t>
            </w:r>
            <w:r>
              <w:fldChar w:fldCharType="begin"/>
            </w:r>
            <w:r>
              <w:instrText xml:space="preserve"> HYPERLINK "https://icd.ncepu.edu.cn/tzgg/a59d6cfc2d5e4340b88c1b900571c292.htm" </w:instrText>
            </w:r>
            <w:r>
              <w:fldChar w:fldCharType="separate"/>
            </w:r>
            <w:r>
              <w:rPr>
                <w:rStyle w:val="35"/>
                <w:rFonts w:hint="eastAsia" w:ascii="仿宋" w:hAnsi="仿宋" w:eastAsia="仿宋" w:cs="宋体"/>
                <w:color w:val="000000" w:themeColor="text1"/>
                <w14:textFill>
                  <w14:solidFill>
                    <w14:schemeClr w14:val="tx1"/>
                  </w14:solidFill>
                </w14:textFill>
              </w:rPr>
              <w:t>https://icd.ncepu.edu.cn/tzgg/a59d6cfc2d5e4340b88c1b900571c292.htm</w:t>
            </w:r>
            <w:r>
              <w:rPr>
                <w:rStyle w:val="35"/>
                <w:rFonts w:hint="eastAsia" w:ascii="仿宋" w:hAnsi="仿宋" w:eastAsia="仿宋" w:cs="宋体"/>
                <w:color w:val="000000" w:themeColor="text1"/>
                <w14:textFill>
                  <w14:solidFill>
                    <w14:schemeClr w14:val="tx1"/>
                  </w14:solidFill>
                </w14:textFill>
              </w:rPr>
              <w:fldChar w:fldCharType="end"/>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（4）提供雅思或托福成绩或通过对方的语言面试。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交流院系介绍</w:t>
            </w:r>
          </w:p>
        </w:tc>
        <w:tc>
          <w:tcPr>
            <w:tcW w:w="6515" w:type="dxa"/>
            <w:vAlign w:val="center"/>
          </w:tcPr>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美国威斯康星大学密尔沃基分校(University of Wisconsin-Milwaukee, UWM, UW-Milwaukee) 是美国威斯康星大学体系中两所可授予博士学位的综合研究型大学之一、美国八十所具有研究生院的研究型大学之一。</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威斯康星大学密尔沃基分校在美国公立大学在国家研究理事会(NRC)排名中排名72，是美国大学先锋排行榜的100所大学之一</w:t>
            </w:r>
            <w:r>
              <w:rPr>
                <w:rFonts w:hint="eastAsia" w:ascii="仿宋" w:hAnsi="仿宋" w:eastAsia="仿宋" w:cs="宋体"/>
                <w:color w:val="000000" w:themeColor="text1"/>
                <w:sz w:val="24"/>
                <w:shd w:val="clear" w:color="auto" w:fill="FFFFFF"/>
                <w:lang w:eastAsia="zh-CN"/>
                <w14:textFill>
                  <w14:solidFill>
                    <w14:schemeClr w14:val="tx1"/>
                  </w14:solidFill>
                </w14:textFill>
              </w:rPr>
              <w:t>。</w:t>
            </w:r>
            <w:r>
              <w:rPr>
                <w:rFonts w:hint="eastAsia" w:ascii="仿宋" w:hAnsi="仿宋" w:eastAsia="仿宋" w:cs="宋体"/>
                <w:color w:val="000000" w:themeColor="text1"/>
                <w:sz w:val="24"/>
                <w:shd w:val="clear" w:color="auto" w:fill="FFFFFF"/>
                <w14:textFill>
                  <w14:solidFill>
                    <w14:schemeClr w14:val="tx1"/>
                  </w14:solidFill>
                </w14:textFill>
              </w:rPr>
              <w:t>在2011法国国立巴黎高等矿业学校(EMP)基于《财富》杂志发布的各校毕业生在世界500强企业中担任首席执行官或与之相当职位的人数指标进行的世界大学排名中，该校名列第98位。</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该校的工程和应用科学学院在美国新闻与世界报道排名129，其中计算机专业排名110。该学院在美国公立大学在国家研究理事会(NRC)排名中排名73，其中工业工程学排第34， 材料科学排第60，土木工程排第69，机械工程排第87，电子工程排第96。 管理信息系统被通信信息系统协会评为全美第19，全世界第24。组织和战略管理被德克萨斯A&amp;M大学和佛罗里达大学的联合研究排名为全世界第32。2006-2008，卢巴商学院的被评为世界前100名。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北京校部</w:t>
            </w:r>
          </w:p>
          <w:p>
            <w:pPr>
              <w:tabs>
                <w:tab w:val="left" w:pos="2428"/>
              </w:tabs>
              <w:rPr>
                <w:rFonts w:hint="eastAsia" w:ascii="仿宋" w:hAnsi="仿宋" w:eastAsia="仿宋" w:cs="宋体"/>
                <w:color w:val="000000" w:themeColor="text1"/>
                <w:sz w:val="24"/>
                <w:shd w:val="clear" w:color="auto" w:fill="FFFFFF"/>
                <w:lang w:eastAsia="zh-Hans"/>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联系人：</w:t>
            </w:r>
            <w:r>
              <w:rPr>
                <w:rFonts w:hint="eastAsia" w:ascii="仿宋" w:hAnsi="仿宋" w:eastAsia="仿宋" w:cs="宋体"/>
                <w:color w:val="000000" w:themeColor="text1"/>
                <w:sz w:val="24"/>
                <w:shd w:val="clear" w:color="auto" w:fill="FFFFFF"/>
                <w:lang w:eastAsia="zh-Hans"/>
                <w14:textFill>
                  <w14:solidFill>
                    <w14:schemeClr w14:val="tx1"/>
                  </w14:solidFill>
                </w14:textFill>
              </w:rPr>
              <w:t>任楚颐</w:t>
            </w:r>
          </w:p>
          <w:p>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电话：010-6177</w:t>
            </w:r>
            <w:r>
              <w:rPr>
                <w:rFonts w:hint="eastAsia" w:ascii="仿宋" w:hAnsi="仿宋" w:eastAsia="仿宋" w:cs="宋体"/>
                <w:color w:val="000000" w:themeColor="text1"/>
                <w:sz w:val="24"/>
                <w:shd w:val="clear" w:color="auto" w:fill="FFFFFF"/>
                <w:lang w:eastAsia="zh-CN"/>
                <w14:textFill>
                  <w14:solidFill>
                    <w14:schemeClr w14:val="tx1"/>
                  </w14:solidFill>
                </w14:textFill>
              </w:rPr>
              <w:t>2342</w:t>
            </w:r>
          </w:p>
          <w:p>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地点：主D837</w:t>
            </w:r>
          </w:p>
          <w:p>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保定校区</w:t>
            </w:r>
          </w:p>
          <w:p>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联系人：</w:t>
            </w:r>
            <w:r>
              <w:rPr>
                <w:rFonts w:hint="eastAsia" w:ascii="仿宋" w:hAnsi="仿宋" w:eastAsia="仿宋" w:cs="宋体"/>
                <w:color w:val="000000" w:themeColor="text1"/>
                <w:sz w:val="24"/>
                <w:shd w:val="clear" w:color="auto" w:fill="FFFFFF"/>
                <w:lang w:eastAsia="zh-CN"/>
                <w14:textFill>
                  <w14:solidFill>
                    <w14:schemeClr w14:val="tx1"/>
                  </w14:solidFill>
                </w14:textFill>
              </w:rPr>
              <w:t>张大超</w:t>
            </w:r>
          </w:p>
          <w:p>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电话：</w:t>
            </w:r>
            <w:r>
              <w:rPr>
                <w:rFonts w:hint="eastAsia" w:ascii="仿宋" w:hAnsi="仿宋" w:eastAsia="仿宋" w:cs="宋体"/>
                <w:color w:val="000000" w:themeColor="text1"/>
                <w:sz w:val="24"/>
                <w:shd w:val="clear" w:color="auto" w:fill="FFFFFF"/>
                <w:lang w:eastAsia="zh-CN"/>
                <w14:textFill>
                  <w14:solidFill>
                    <w14:schemeClr w14:val="tx1"/>
                  </w14:solidFill>
                </w14:textFill>
              </w:rPr>
              <w:t>0312-7522207</w:t>
            </w:r>
          </w:p>
          <w:p>
            <w:pPr>
              <w:tabs>
                <w:tab w:val="left" w:pos="2428"/>
              </w:tabs>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地址：</w:t>
            </w:r>
            <w:r>
              <w:rPr>
                <w:rFonts w:hint="eastAsia" w:ascii="仿宋" w:hAnsi="仿宋" w:eastAsia="仿宋" w:cs="宋体"/>
                <w:color w:val="000000" w:themeColor="text1"/>
                <w:sz w:val="24"/>
                <w:shd w:val="clear" w:color="auto" w:fill="FFFFFF"/>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3" w:name="_Toc145063064"/>
    </w:p>
    <w:bookmarkEnd w:id="23"/>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4" w:name="_Toc1655"/>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美国密歇根大学德尔本校区</w:t>
      </w:r>
      <w:bookmarkEnd w:id="2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美国密歇根大学德尔本校区3+1+1项目，及本科交流交换项目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选拔优秀本科生赴美国密歇根州立大学德尔本校区进行学习。学习为期一学期，学年结束时，可获得华北电力大学毕业证及学士学位。成绩优秀的同学可以继续攻读硕士。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学费按密歇根州收费标准收取。约为10000美元</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请咨询密歇根州立大学迪尔本校区官网</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5"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ind w:firstLine="361" w:firstLineChars="100"/>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5" w:name="_Toc7251"/>
    </w:p>
    <w:p>
      <w:pPr>
        <w:pStyle w:val="4"/>
        <w:ind w:firstLine="361" w:firstLineChars="100"/>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美国普渡大学西北校区</w:t>
      </w:r>
      <w:bookmarkEnd w:id="25"/>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本科生可赴普渡大学进行为期一学期、或一年的交流学习。学习结束后满足一定条件的学生，可继续在普渡大学进行研究生阶段的学习（免GRE成绩）</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416"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default"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bookmarkStart w:id="26" w:name="_Toc16149"/>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w:t>
      </w: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加州大学河滨分校</w:t>
      </w:r>
      <w:bookmarkEnd w:id="26"/>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项目内容</w:t>
            </w:r>
          </w:p>
        </w:tc>
        <w:tc>
          <w:tcPr>
            <w:tcW w:w="6491" w:type="dxa"/>
            <w:vAlign w:val="center"/>
          </w:tcPr>
          <w:p>
            <w:pPr>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加州大学河滨分校研究生准备项目（GPP）是一个创建于</w:t>
            </w:r>
            <w:r>
              <w:rPr>
                <w:rFonts w:hint="default" w:ascii="仿宋" w:hAnsi="仿宋" w:eastAsia="仿宋" w:cs="宋体"/>
                <w:color w:val="auto"/>
                <w:sz w:val="24"/>
                <w:lang w:val="en-US" w:eastAsia="zh-CN"/>
              </w:rPr>
              <w:t>2013</w:t>
            </w:r>
            <w:r>
              <w:rPr>
                <w:rFonts w:hint="eastAsia" w:ascii="仿宋" w:hAnsi="仿宋" w:eastAsia="仿宋" w:cs="宋体"/>
                <w:color w:val="auto"/>
                <w:sz w:val="24"/>
                <w:lang w:val="en-US" w:eastAsia="zh-CN"/>
              </w:rPr>
              <w:t>年的独特定制项目，旨在为学生提供在一所前沿美国研究型大学进行深入学习的机会。该计划允许已经完成大三学业的学生在加州大学河滨分校完成他们的第四年或最后一年（</w:t>
            </w:r>
            <w:r>
              <w:rPr>
                <w:rFonts w:hint="default" w:ascii="仿宋" w:hAnsi="仿宋" w:eastAsia="仿宋" w:cs="宋体"/>
                <w:color w:val="auto"/>
                <w:sz w:val="24"/>
                <w:lang w:val="en-US" w:eastAsia="zh-CN"/>
              </w:rPr>
              <w:t>3+1</w:t>
            </w:r>
            <w:r>
              <w:rPr>
                <w:rFonts w:hint="eastAsia" w:ascii="仿宋" w:hAnsi="仿宋" w:eastAsia="仿宋" w:cs="宋体"/>
                <w:color w:val="auto"/>
                <w:sz w:val="24"/>
                <w:lang w:val="en-US" w:eastAsia="zh-CN"/>
              </w:rPr>
              <w:t>），并在录取后提供更多机会以获得硕士或博士学位。</w:t>
            </w:r>
          </w:p>
          <w:p>
            <w:pPr>
              <w:ind w:firstLine="480" w:firstLineChars="200"/>
              <w:jc w:val="left"/>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GPP学生通过申请可在</w:t>
            </w:r>
            <w:r>
              <w:rPr>
                <w:rFonts w:hint="default" w:ascii="仿宋" w:hAnsi="仿宋" w:eastAsia="仿宋" w:cs="宋体"/>
                <w:color w:val="auto"/>
                <w:sz w:val="24"/>
                <w:lang w:val="en-US" w:eastAsia="zh-CN"/>
              </w:rPr>
              <w:t>UCR</w:t>
            </w:r>
            <w:r>
              <w:rPr>
                <w:rFonts w:hint="eastAsia" w:ascii="仿宋" w:hAnsi="仿宋" w:eastAsia="仿宋" w:cs="宋体"/>
                <w:color w:val="auto"/>
                <w:sz w:val="24"/>
                <w:lang w:val="en-US" w:eastAsia="zh-CN"/>
              </w:rPr>
              <w:t>完成一年大四的学习。完成学业后，将</w:t>
            </w:r>
            <w:r>
              <w:rPr>
                <w:rFonts w:hint="default" w:ascii="仿宋" w:hAnsi="仿宋" w:eastAsia="仿宋" w:cs="宋体"/>
                <w:color w:val="auto"/>
                <w:sz w:val="24"/>
                <w:lang w:val="en-US" w:eastAsia="zh-CN"/>
              </w:rPr>
              <w:t>UCR</w:t>
            </w:r>
            <w:r>
              <w:rPr>
                <w:rFonts w:hint="eastAsia" w:ascii="仿宋" w:hAnsi="仿宋" w:eastAsia="仿宋" w:cs="宋体"/>
                <w:color w:val="auto"/>
                <w:sz w:val="24"/>
                <w:lang w:val="en-US" w:eastAsia="zh-CN"/>
              </w:rPr>
              <w:t xml:space="preserve">学分转回华电，获取华电颁发的大学学位及文凭。 </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选派专业</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lang w:val="en-US" w:eastAsia="zh-CN"/>
              </w:rPr>
              <w:t>生</w:t>
            </w:r>
            <w:r>
              <w:rPr>
                <w:rFonts w:hint="eastAsia" w:ascii="仿宋" w:hAnsi="仿宋" w:eastAsia="仿宋" w:cs="仿宋"/>
                <w:color w:val="auto"/>
                <w:sz w:val="24"/>
                <w:lang w:val="en-US" w:eastAsia="zh-CN"/>
              </w:rPr>
              <w:t>物</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程，化学与环境</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程，计算机科学，计算机</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程，电子</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程，材料科学与</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程，机械</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程，计算数据科学，商科，化学，物理，数学，统计学，公共政策学</w:t>
            </w:r>
            <w:r>
              <w:rPr>
                <w:rFonts w:hint="default" w:ascii="仿宋" w:hAnsi="仿宋" w:eastAsia="仿宋" w:cs="宋体"/>
                <w:color w:val="auto"/>
                <w:sz w:val="24"/>
                <w:lang w:val="en-US" w:eastAsia="zh-CN"/>
              </w:rPr>
              <w:t xml:space="preserve"> </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选派类别</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选派人数</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由</w:t>
            </w:r>
            <w:r>
              <w:rPr>
                <w:rFonts w:hint="eastAsia" w:ascii="仿宋" w:hAnsi="仿宋" w:eastAsia="仿宋" w:cs="宋体"/>
                <w:color w:val="auto"/>
                <w:sz w:val="24"/>
                <w:lang w:val="en-US" w:eastAsia="zh-CN"/>
              </w:rPr>
              <w:t>加州大学河滨分校</w:t>
            </w:r>
            <w:r>
              <w:rPr>
                <w:rFonts w:hint="eastAsia" w:ascii="仿宋" w:hAnsi="仿宋" w:eastAsia="仿宋" w:cs="宋体"/>
                <w:color w:val="auto"/>
                <w:sz w:val="24"/>
              </w:rPr>
              <w:t>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交流期限</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1学年，</w:t>
            </w:r>
            <w:r>
              <w:rPr>
                <w:rFonts w:ascii="仿宋" w:hAnsi="仿宋" w:eastAsia="仿宋" w:cs="宋体"/>
                <w:color w:val="auto"/>
                <w:sz w:val="24"/>
              </w:rPr>
              <w:t>成绩优异同学可继续申请研究生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416"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申请条件</w:t>
            </w:r>
          </w:p>
        </w:tc>
        <w:tc>
          <w:tcPr>
            <w:tcW w:w="6491" w:type="dxa"/>
            <w:vAlign w:val="center"/>
          </w:tcPr>
          <w:p>
            <w:pPr>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1.绩点要求：GPA 3.0/4.0 </w:t>
            </w:r>
          </w:p>
          <w:p>
            <w:pPr>
              <w:rPr>
                <w:rFonts w:hint="eastAsia" w:ascii="仿宋" w:hAnsi="仿宋" w:eastAsia="仿宋" w:cs="宋体"/>
                <w:color w:val="auto"/>
                <w:sz w:val="24"/>
              </w:rPr>
            </w:pPr>
            <w:r>
              <w:rPr>
                <w:rFonts w:hint="eastAsia" w:ascii="仿宋" w:hAnsi="仿宋" w:eastAsia="仿宋" w:cs="宋体"/>
                <w:color w:val="auto"/>
                <w:sz w:val="24"/>
                <w:lang w:val="en-US" w:eastAsia="zh-CN"/>
              </w:rPr>
              <w:t>2.满足以下一条英语语言要求</w:t>
            </w:r>
            <w:r>
              <w:rPr>
                <w:rFonts w:hint="default" w:ascii="仿宋" w:hAnsi="仿宋" w:eastAsia="仿宋" w:cs="宋体"/>
                <w:color w:val="auto"/>
                <w:sz w:val="24"/>
                <w:lang w:val="en-US" w:eastAsia="zh-CN"/>
              </w:rPr>
              <w:t xml:space="preserve">: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托福 </w:t>
            </w:r>
            <w:r>
              <w:rPr>
                <w:rFonts w:hint="default" w:ascii="仿宋" w:hAnsi="仿宋" w:eastAsia="仿宋" w:cs="宋体"/>
                <w:color w:val="auto"/>
                <w:sz w:val="24"/>
                <w:lang w:val="en-US" w:eastAsia="zh-CN"/>
              </w:rPr>
              <w:t xml:space="preserve">iBT 80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托福 </w:t>
            </w:r>
            <w:r>
              <w:rPr>
                <w:rFonts w:hint="default" w:ascii="仿宋" w:hAnsi="仿宋" w:eastAsia="仿宋" w:cs="宋体"/>
                <w:color w:val="auto"/>
                <w:sz w:val="24"/>
                <w:lang w:val="en-US" w:eastAsia="zh-CN"/>
              </w:rPr>
              <w:t xml:space="preserve">PBT 550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雅思 </w:t>
            </w:r>
            <w:r>
              <w:rPr>
                <w:rFonts w:hint="default" w:ascii="仿宋" w:hAnsi="仿宋" w:eastAsia="仿宋" w:cs="宋体"/>
                <w:color w:val="auto"/>
                <w:sz w:val="24"/>
                <w:lang w:val="en-US" w:eastAsia="zh-CN"/>
              </w:rPr>
              <w:t xml:space="preserve">6.5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多邻国 </w:t>
            </w:r>
            <w:r>
              <w:rPr>
                <w:rFonts w:hint="default" w:ascii="仿宋" w:hAnsi="仿宋" w:eastAsia="仿宋" w:cs="宋体"/>
                <w:color w:val="auto"/>
                <w:sz w:val="24"/>
                <w:lang w:val="en-US" w:eastAsia="zh-CN"/>
              </w:rPr>
              <w:t xml:space="preserve">100 </w:t>
            </w:r>
          </w:p>
          <w:p>
            <w:pPr>
              <w:rPr>
                <w:rFonts w:hint="default" w:ascii="仿宋" w:hAnsi="仿宋" w:eastAsia="仿宋" w:cs="宋体"/>
                <w:color w:val="auto"/>
                <w:sz w:val="24"/>
                <w:lang w:val="en-US" w:eastAsia="zh-CN"/>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大学四级</w:t>
            </w:r>
            <w:r>
              <w:rPr>
                <w:rFonts w:hint="default" w:ascii="仿宋" w:hAnsi="仿宋" w:eastAsia="仿宋" w:cs="宋体"/>
                <w:color w:val="auto"/>
                <w:sz w:val="24"/>
                <w:lang w:val="en-US" w:eastAsia="zh-CN"/>
              </w:rPr>
              <w:t xml:space="preserve">500 </w:t>
            </w:r>
            <w:r>
              <w:rPr>
                <w:rFonts w:hint="eastAsia" w:ascii="仿宋" w:hAnsi="仿宋" w:eastAsia="仿宋" w:cs="宋体"/>
                <w:color w:val="auto"/>
                <w:sz w:val="24"/>
                <w:lang w:val="en-US" w:eastAsia="zh-CN"/>
              </w:rPr>
              <w:t>或</w:t>
            </w: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大学六级 </w:t>
            </w:r>
            <w:r>
              <w:rPr>
                <w:rFonts w:hint="default" w:ascii="仿宋" w:hAnsi="仿宋" w:eastAsia="仿宋" w:cs="宋体"/>
                <w:color w:val="auto"/>
                <w:sz w:val="24"/>
                <w:lang w:val="en-US" w:eastAsia="zh-CN"/>
              </w:rPr>
              <w:t xml:space="preserve">460 </w:t>
            </w:r>
          </w:p>
          <w:p>
            <w:pPr>
              <w:rPr>
                <w:rFonts w:hint="default" w:ascii="仿宋" w:hAnsi="仿宋" w:eastAsia="仿宋" w:cs="宋体"/>
                <w:color w:val="auto"/>
                <w:sz w:val="24"/>
                <w:lang w:val="en-US" w:eastAsia="zh-CN"/>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所需费用</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lang w:val="en-US" w:eastAsia="zh-CN"/>
              </w:rPr>
              <w:t>GPP ⼀年学费</w:t>
            </w:r>
            <w:r>
              <w:rPr>
                <w:rFonts w:hint="default" w:ascii="仿宋" w:hAnsi="仿宋" w:eastAsia="仿宋" w:cs="宋体"/>
                <w:color w:val="auto"/>
                <w:sz w:val="24"/>
                <w:lang w:val="en-US" w:eastAsia="zh-CN"/>
              </w:rPr>
              <w:t xml:space="preserve">: $25,000 </w:t>
            </w:r>
            <w:r>
              <w:rPr>
                <w:rFonts w:hint="eastAsia" w:ascii="仿宋" w:hAnsi="仿宋" w:eastAsia="仿宋" w:cs="宋体"/>
                <w:color w:val="auto"/>
                <w:sz w:val="24"/>
                <w:lang w:val="en-US" w:eastAsia="zh-CN"/>
              </w:rPr>
              <w:t xml:space="preserve">美元 </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报名咨询方式</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北京校部</w:t>
            </w:r>
          </w:p>
          <w:p>
            <w:pPr>
              <w:rPr>
                <w:rFonts w:ascii="仿宋" w:hAnsi="仿宋" w:eastAsia="仿宋" w:cs="宋体"/>
                <w:color w:val="auto"/>
                <w:sz w:val="24"/>
                <w:lang w:eastAsia="zh-Hans"/>
              </w:rPr>
            </w:pPr>
            <w:r>
              <w:rPr>
                <w:rFonts w:hint="eastAsia" w:ascii="仿宋" w:hAnsi="仿宋" w:eastAsia="仿宋" w:cs="宋体"/>
                <w:color w:val="auto"/>
                <w:sz w:val="24"/>
              </w:rPr>
              <w:t>联系人：</w:t>
            </w:r>
            <w:r>
              <w:rPr>
                <w:rFonts w:hint="eastAsia" w:ascii="仿宋" w:hAnsi="仿宋" w:eastAsia="仿宋" w:cs="宋体"/>
                <w:color w:val="auto"/>
                <w:sz w:val="24"/>
                <w:lang w:eastAsia="zh-Hans"/>
              </w:rPr>
              <w:t>任楚颐</w:t>
            </w:r>
          </w:p>
          <w:p>
            <w:pPr>
              <w:rPr>
                <w:rFonts w:hint="eastAsia" w:ascii="仿宋" w:hAnsi="仿宋" w:eastAsia="仿宋" w:cs="宋体"/>
                <w:color w:val="auto"/>
                <w:sz w:val="24"/>
                <w:lang w:eastAsia="zh-CN"/>
              </w:rPr>
            </w:pPr>
            <w:r>
              <w:rPr>
                <w:rFonts w:hint="eastAsia" w:ascii="仿宋" w:hAnsi="仿宋" w:eastAsia="仿宋" w:cs="宋体"/>
                <w:color w:val="auto"/>
                <w:sz w:val="24"/>
              </w:rPr>
              <w:t>电话：010-6177</w:t>
            </w:r>
            <w:r>
              <w:rPr>
                <w:rFonts w:hint="eastAsia" w:ascii="仿宋" w:hAnsi="仿宋" w:eastAsia="仿宋" w:cs="宋体"/>
                <w:color w:val="auto"/>
                <w:sz w:val="24"/>
                <w:lang w:eastAsia="zh-CN"/>
              </w:rPr>
              <w:t>2342</w:t>
            </w:r>
          </w:p>
          <w:p>
            <w:pPr>
              <w:rPr>
                <w:rFonts w:hint="eastAsia" w:ascii="仿宋" w:hAnsi="仿宋" w:eastAsia="仿宋" w:cs="宋体"/>
                <w:color w:val="auto"/>
                <w:sz w:val="24"/>
              </w:rPr>
            </w:pPr>
            <w:r>
              <w:rPr>
                <w:rFonts w:hint="eastAsia" w:ascii="仿宋" w:hAnsi="仿宋" w:eastAsia="仿宋" w:cs="宋体"/>
                <w:color w:val="auto"/>
                <w:sz w:val="24"/>
              </w:rPr>
              <w:t>地点：主D837</w:t>
            </w:r>
          </w:p>
          <w:p>
            <w:pPr>
              <w:rPr>
                <w:rFonts w:ascii="仿宋" w:hAnsi="仿宋" w:eastAsia="仿宋" w:cs="宋体"/>
                <w:color w:val="auto"/>
                <w:sz w:val="24"/>
              </w:rPr>
            </w:pPr>
            <w:r>
              <w:rPr>
                <w:rFonts w:hint="eastAsia" w:ascii="仿宋" w:hAnsi="仿宋" w:eastAsia="仿宋" w:cs="宋体"/>
                <w:color w:val="auto"/>
                <w:sz w:val="24"/>
              </w:rPr>
              <w:t>保定校区</w:t>
            </w:r>
          </w:p>
          <w:p>
            <w:pPr>
              <w:rPr>
                <w:rFonts w:hint="eastAsia" w:ascii="仿宋" w:hAnsi="仿宋" w:eastAsia="仿宋" w:cs="宋体"/>
                <w:color w:val="auto"/>
                <w:sz w:val="24"/>
                <w:lang w:eastAsia="zh-CN"/>
              </w:rPr>
            </w:pPr>
            <w:r>
              <w:rPr>
                <w:rFonts w:hint="eastAsia" w:ascii="仿宋" w:hAnsi="仿宋" w:eastAsia="仿宋" w:cs="宋体"/>
                <w:color w:val="auto"/>
                <w:sz w:val="24"/>
              </w:rPr>
              <w:t>联系人：</w:t>
            </w:r>
            <w:r>
              <w:rPr>
                <w:rFonts w:hint="eastAsia" w:ascii="仿宋" w:hAnsi="仿宋" w:eastAsia="仿宋" w:cs="宋体"/>
                <w:color w:val="auto"/>
                <w:sz w:val="24"/>
                <w:lang w:eastAsia="zh-CN"/>
              </w:rPr>
              <w:t>张大超</w:t>
            </w:r>
          </w:p>
          <w:p>
            <w:pPr>
              <w:rPr>
                <w:rFonts w:hint="eastAsia" w:ascii="仿宋" w:hAnsi="仿宋" w:eastAsia="仿宋" w:cs="宋体"/>
                <w:color w:val="auto"/>
                <w:sz w:val="24"/>
                <w:lang w:eastAsia="zh-CN"/>
              </w:rPr>
            </w:pPr>
            <w:r>
              <w:rPr>
                <w:rFonts w:hint="eastAsia" w:ascii="仿宋" w:hAnsi="仿宋" w:eastAsia="仿宋" w:cs="宋体"/>
                <w:color w:val="auto"/>
                <w:sz w:val="24"/>
              </w:rPr>
              <w:t>电话：</w:t>
            </w:r>
            <w:r>
              <w:rPr>
                <w:rFonts w:hint="eastAsia" w:ascii="仿宋" w:hAnsi="仿宋" w:eastAsia="仿宋" w:cs="宋体"/>
                <w:color w:val="auto"/>
                <w:sz w:val="24"/>
                <w:lang w:eastAsia="zh-CN"/>
              </w:rPr>
              <w:t>0312-7522207</w:t>
            </w:r>
          </w:p>
          <w:p>
            <w:pPr>
              <w:rPr>
                <w:rFonts w:hint="eastAsia" w:ascii="仿宋" w:hAnsi="仿宋" w:eastAsia="仿宋" w:cs="宋体"/>
                <w:color w:val="auto"/>
                <w:sz w:val="24"/>
                <w:lang w:eastAsia="zh-CN"/>
              </w:rPr>
            </w:pPr>
            <w:r>
              <w:rPr>
                <w:rFonts w:hint="eastAsia" w:ascii="仿宋" w:hAnsi="仿宋" w:eastAsia="仿宋" w:cs="宋体"/>
                <w:color w:val="auto"/>
                <w:sz w:val="24"/>
              </w:rPr>
              <w:t>地址：</w:t>
            </w:r>
            <w:r>
              <w:rPr>
                <w:rFonts w:hint="eastAsia" w:ascii="仿宋" w:hAnsi="仿宋" w:eastAsia="仿宋" w:cs="宋体"/>
                <w:color w:val="auto"/>
                <w:sz w:val="24"/>
                <w:lang w:eastAsia="zh-CN"/>
              </w:rPr>
              <w:t>综合楼709</w:t>
            </w:r>
          </w:p>
        </w:tc>
      </w:tr>
    </w:tbl>
    <w:p>
      <w:pPr>
        <w:pStyle w:val="4"/>
        <w:jc w:val="both"/>
        <w:rPr>
          <w:rFonts w:ascii="仿宋" w:hAnsi="仿宋" w:eastAsia="仿宋"/>
          <w:color w:val="auto"/>
          <w:sz w:val="36"/>
          <w:szCs w:val="36"/>
        </w:rPr>
      </w:pPr>
    </w:p>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7" w:name="_Toc17209"/>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澳大利亚昆士兰大学</w:t>
      </w:r>
      <w:bookmarkEnd w:id="2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年均学费约为＄30672（不同学院学费不同）</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请咨询昆士兰大学官网https://www.uq.edu.au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（4）雅思不低</w:t>
            </w:r>
            <w:r>
              <w:rPr>
                <w:rFonts w:hint="eastAsia" w:ascii="仿宋" w:hAnsi="仿宋" w:eastAsia="仿宋" w:cs="宋体"/>
                <w:shd w:val="clear" w:color="auto" w:fill="FFFFFF"/>
              </w:rPr>
              <w:t>于6</w:t>
            </w:r>
            <w:r>
              <w:rPr>
                <w:rFonts w:ascii="仿宋" w:hAnsi="仿宋" w:eastAsia="仿宋" w:cs="宋体"/>
                <w:shd w:val="clear" w:color="auto" w:fill="FFFFFF"/>
              </w:rPr>
              <w:t>.5</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昆士兰大学是世界著名顶尖学府、著名高等科研学府之一。澳大利亚常春藤联盟“八大名校”之一，始建于1909年，是昆士兰州第一所综合型大学，也是澳大利亚最大、最有声望的大学之一，同时还是六所砂岩学府之一，及UNIVERSITAS 21成员。2019年，昆士兰大学位居2020年QS世界大学排名第47位[2]，2020年USNews世界大学排名第42位[3]，2020年泰晤士高等教育世界大学排名第66位，2019年软科世界大学学术排名第54位。学校学部学院包括：商业，经济与法律学部工程，建筑与信息技术学部，健康与行为科学学部，人文与社会科学学部，医学部，理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8" w:name="_Toc25922"/>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澳大利亚新南威尔士大学</w:t>
      </w:r>
      <w:bookmarkEnd w:id="28"/>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9" w:name="_Toc2271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澳大利亚纽卡斯尔大学</w:t>
      </w:r>
      <w:bookmarkEnd w:id="2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AACSB</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MBA</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0" w:name="_Toc717"/>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澳大利亚昆士兰科技大学</w:t>
      </w:r>
      <w:bookmarkEnd w:id="3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澳大利亚</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昆士兰州</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布里斯班</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泰晤士高等教育世界大学排名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QS世界大学排名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31" w:name="ref_[2]_184747"/>
            <w:r>
              <w:rPr>
                <w:rFonts w:ascii="Calibri" w:hAnsi="Calibri" w:eastAsia="仿宋" w:cs="Calibri"/>
                <w:color w:val="000000" w:themeColor="text1"/>
                <w:kern w:val="0"/>
                <w:sz w:val="24"/>
                <w14:textFill>
                  <w14:solidFill>
                    <w14:schemeClr w14:val="tx1"/>
                  </w14:solidFill>
                </w14:textFill>
              </w:rPr>
              <w:t> </w:t>
            </w:r>
            <w:bookmarkEnd w:id="31"/>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会计、金融、管理、市场营销、经济、人力资源管理、公共关系管理、软件、信息系统、软件工程、信息管理、土木工程、工业设计、室内设计、工程管理、景观建筑学、环境工程、通讯技术等。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2" w:name="_Toc919"/>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马来西亚马来亚大学</w:t>
      </w:r>
      <w:bookmarkEnd w:id="3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马来西亚</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温家宝</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3" w:name="_Toc25313"/>
    </w:p>
    <w:p>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ind w:firstLine="3253" w:firstLineChars="900"/>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4" w:name="_Toc789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韩国延世大学</w:t>
      </w:r>
      <w:bookmarkEnd w:id="33"/>
      <w:bookmarkEnd w:id="3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31000元/学期</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请咨询延世大学官网https://www.yonsei.ac.kr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（3）品学兼优，学习成绩排名前列，GPA不低于2.5/4.0;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（4）较强的英语沟通能力（要求雅思不低于6.5或托福不低于79）。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延世大学位于韩国首尔，是一所以基督教精神建立的世界顶尖研究型综合大学，与首尔大学和高丽大学并称为韩国大学的一片天，位列韩国SKY顶尖大学第3位，韩国公认最著名的三所大学之一。为环太平洋大学联盟成员。世界大学排名中一直名列全球前150位以内，成立于1885年，是韩国最古老的大学。2019泰晤士世界大学排名商业、创新、基础设施世界第一。学校设置文科学院、教育科学学院、神科学院、商经学院、社会科学学院、法科学院、理科学院、生活科学学院、牙科学院、护理学院、工科学院经、法学院、保健科学院、医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5" w:name="_Toc17289"/>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w:t>
      </w: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崇实</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3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hint="eastAsia" w:ascii="仿宋" w:hAnsi="仿宋" w:eastAsia="仿宋" w:cs="宋体"/>
                <w:color w:val="000000" w:themeColor="text1"/>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请咨询崇实大学官网</w:t>
            </w:r>
            <w:r>
              <w:rPr>
                <w:rFonts w:hint="eastAsia" w:ascii="仿宋" w:hAnsi="仿宋" w:eastAsia="仿宋" w:cs="宋体"/>
                <w:color w:val="000000" w:themeColor="text1"/>
                <w:spacing w:val="8"/>
                <w:shd w:val="clear" w:color="auto" w:fill="FFFFFF"/>
                <w14:textFill>
                  <w14:solidFill>
                    <w14:schemeClr w14:val="tx1"/>
                  </w14:solidFill>
                </w14:textFill>
              </w:rPr>
              <w:t>https://study.ssu.ac.kr/en/main/main.do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外语水平优秀者优先。（雅思</w:t>
            </w:r>
            <w:r>
              <w:rPr>
                <w:rFonts w:hint="default" w:ascii="仿宋" w:hAnsi="仿宋" w:eastAsia="仿宋" w:cs="宋体"/>
                <w:color w:val="000000" w:themeColor="text1"/>
                <w:spacing w:val="8"/>
                <w:shd w:val="clear" w:color="auto" w:fill="FFFFFF"/>
                <w14:textFill>
                  <w14:solidFill>
                    <w14:schemeClr w14:val="tx1"/>
                  </w14:solidFill>
                </w14:textFill>
              </w:rPr>
              <w:t>5分或者托福70分及以上）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崇实大学是一所位于韩国首尔著名的基督教私立大学。地点在首尔市中心地铁七号线崇实大学站，它也是韩国最初的综合性大学。秉承着校训‘真理与奉献’的精神，该校的工学专业，计算机专业，社会福利专业名列前茅，该专业的教授在韩国享有盛誉。并且该校拥有全韩国最大的炯工业专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bookmarkStart w:id="36" w:name="_GoBack"/>
            <w:bookmarkEnd w:id="36"/>
          </w:p>
        </w:tc>
      </w:tr>
    </w:tbl>
    <w:p>
      <w:pPr>
        <w:pStyle w:val="27"/>
        <w:widowControl/>
        <w:shd w:val="clear" w:color="auto" w:fill="FFFFFF"/>
        <w:rPr>
          <w:rFonts w:hint="eastAsia" w:ascii="仿宋" w:hAnsi="仿宋" w:eastAsia="仿宋" w:cs="宋体"/>
          <w:b/>
          <w:bCs/>
          <w:color w:val="000000" w:themeColor="text1"/>
          <w:shd w:val="clear" w:color="auto" w:fill="FFFFFF"/>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Malgun Gothic">
    <w:altName w:val="Apple SD Gothic Neo"/>
    <w:panose1 w:val="020B0503020000020004"/>
    <w:charset w:val="81"/>
    <w:family w:val="swiss"/>
    <w:pitch w:val="default"/>
    <w:sig w:usb0="00000000" w:usb1="00000000" w:usb2="00000012" w:usb3="00000000" w:csb0="0008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NmUyMmM1NjZlMWJkNjcwYmQ0NzczYTliMGQzMmUifQ=="/>
  </w:docVars>
  <w:rsids>
    <w:rsidRoot w:val="35B637C3"/>
    <w:rsid w:val="0000302C"/>
    <w:rsid w:val="000170D4"/>
    <w:rsid w:val="00042630"/>
    <w:rsid w:val="0006648A"/>
    <w:rsid w:val="000C7727"/>
    <w:rsid w:val="000D0A5E"/>
    <w:rsid w:val="00117094"/>
    <w:rsid w:val="00122C08"/>
    <w:rsid w:val="00123A52"/>
    <w:rsid w:val="00147B49"/>
    <w:rsid w:val="001A25C7"/>
    <w:rsid w:val="001D267A"/>
    <w:rsid w:val="001E0B59"/>
    <w:rsid w:val="00204706"/>
    <w:rsid w:val="00241F68"/>
    <w:rsid w:val="002A051F"/>
    <w:rsid w:val="002C32ED"/>
    <w:rsid w:val="002E4C53"/>
    <w:rsid w:val="002F6A10"/>
    <w:rsid w:val="00320724"/>
    <w:rsid w:val="00344EAD"/>
    <w:rsid w:val="00354CCD"/>
    <w:rsid w:val="00366073"/>
    <w:rsid w:val="003B0EF6"/>
    <w:rsid w:val="003B75FB"/>
    <w:rsid w:val="00437DA0"/>
    <w:rsid w:val="004856AE"/>
    <w:rsid w:val="004B06C3"/>
    <w:rsid w:val="004D7D89"/>
    <w:rsid w:val="004E3F03"/>
    <w:rsid w:val="004F0007"/>
    <w:rsid w:val="004F6E0F"/>
    <w:rsid w:val="00541DBF"/>
    <w:rsid w:val="005622C5"/>
    <w:rsid w:val="005A0CBD"/>
    <w:rsid w:val="005B332D"/>
    <w:rsid w:val="005B34AC"/>
    <w:rsid w:val="005F6D19"/>
    <w:rsid w:val="00606645"/>
    <w:rsid w:val="00613B5B"/>
    <w:rsid w:val="00621431"/>
    <w:rsid w:val="006832D2"/>
    <w:rsid w:val="006B156E"/>
    <w:rsid w:val="006C6A54"/>
    <w:rsid w:val="006D1174"/>
    <w:rsid w:val="007243E5"/>
    <w:rsid w:val="007264A7"/>
    <w:rsid w:val="00751781"/>
    <w:rsid w:val="00792C12"/>
    <w:rsid w:val="007A4414"/>
    <w:rsid w:val="007E4A14"/>
    <w:rsid w:val="00832C57"/>
    <w:rsid w:val="00841A7E"/>
    <w:rsid w:val="008639C3"/>
    <w:rsid w:val="0087380F"/>
    <w:rsid w:val="008750B2"/>
    <w:rsid w:val="008F1796"/>
    <w:rsid w:val="00901A7F"/>
    <w:rsid w:val="00915445"/>
    <w:rsid w:val="0095571D"/>
    <w:rsid w:val="00957993"/>
    <w:rsid w:val="009721E4"/>
    <w:rsid w:val="0098061F"/>
    <w:rsid w:val="009B57FF"/>
    <w:rsid w:val="009C17F6"/>
    <w:rsid w:val="009E3BDD"/>
    <w:rsid w:val="009F3E94"/>
    <w:rsid w:val="00A17A32"/>
    <w:rsid w:val="00A449EA"/>
    <w:rsid w:val="00A64D00"/>
    <w:rsid w:val="00A7592D"/>
    <w:rsid w:val="00AF4110"/>
    <w:rsid w:val="00B0170B"/>
    <w:rsid w:val="00B0769C"/>
    <w:rsid w:val="00B1082F"/>
    <w:rsid w:val="00B63757"/>
    <w:rsid w:val="00B84A24"/>
    <w:rsid w:val="00C01B8C"/>
    <w:rsid w:val="00C03FF7"/>
    <w:rsid w:val="00C44C10"/>
    <w:rsid w:val="00C83D7E"/>
    <w:rsid w:val="00CA10B5"/>
    <w:rsid w:val="00CA1AA3"/>
    <w:rsid w:val="00CA2889"/>
    <w:rsid w:val="00CD4C7B"/>
    <w:rsid w:val="00CF06B6"/>
    <w:rsid w:val="00CF660D"/>
    <w:rsid w:val="00D14848"/>
    <w:rsid w:val="00D26FAA"/>
    <w:rsid w:val="00D47B01"/>
    <w:rsid w:val="00D94D74"/>
    <w:rsid w:val="00DC3089"/>
    <w:rsid w:val="00E24242"/>
    <w:rsid w:val="00E432F7"/>
    <w:rsid w:val="00E44B1D"/>
    <w:rsid w:val="00E54F8F"/>
    <w:rsid w:val="00E61D20"/>
    <w:rsid w:val="00E80055"/>
    <w:rsid w:val="00EA1238"/>
    <w:rsid w:val="00EC01B0"/>
    <w:rsid w:val="00ED3278"/>
    <w:rsid w:val="00F06075"/>
    <w:rsid w:val="00F15835"/>
    <w:rsid w:val="00F22916"/>
    <w:rsid w:val="00F40BA0"/>
    <w:rsid w:val="00F51C7B"/>
    <w:rsid w:val="00F73B36"/>
    <w:rsid w:val="00F766A0"/>
    <w:rsid w:val="00FA2AC1"/>
    <w:rsid w:val="00FB5F16"/>
    <w:rsid w:val="00FD0963"/>
    <w:rsid w:val="033835C5"/>
    <w:rsid w:val="041554E7"/>
    <w:rsid w:val="043E5A21"/>
    <w:rsid w:val="054349B2"/>
    <w:rsid w:val="05553232"/>
    <w:rsid w:val="059C4CEC"/>
    <w:rsid w:val="05FA04B5"/>
    <w:rsid w:val="077E7282"/>
    <w:rsid w:val="082B5D4C"/>
    <w:rsid w:val="086E3F88"/>
    <w:rsid w:val="0ABB4D47"/>
    <w:rsid w:val="0CAF1884"/>
    <w:rsid w:val="0EA622B2"/>
    <w:rsid w:val="1099027C"/>
    <w:rsid w:val="119B7881"/>
    <w:rsid w:val="12494EC1"/>
    <w:rsid w:val="126B3217"/>
    <w:rsid w:val="1534632A"/>
    <w:rsid w:val="15C34C76"/>
    <w:rsid w:val="17783479"/>
    <w:rsid w:val="18B330A4"/>
    <w:rsid w:val="196947C5"/>
    <w:rsid w:val="19CB4F4F"/>
    <w:rsid w:val="19ED7944"/>
    <w:rsid w:val="1C8B0D4A"/>
    <w:rsid w:val="1FD66EDA"/>
    <w:rsid w:val="1FF9718D"/>
    <w:rsid w:val="21E528FE"/>
    <w:rsid w:val="24446BEF"/>
    <w:rsid w:val="24C95BA6"/>
    <w:rsid w:val="25093983"/>
    <w:rsid w:val="255C37FB"/>
    <w:rsid w:val="255D4F4D"/>
    <w:rsid w:val="257944EB"/>
    <w:rsid w:val="273E5983"/>
    <w:rsid w:val="2AC86FEF"/>
    <w:rsid w:val="2ED60CC9"/>
    <w:rsid w:val="2F731F59"/>
    <w:rsid w:val="2F91256B"/>
    <w:rsid w:val="2FE64FE7"/>
    <w:rsid w:val="302007CF"/>
    <w:rsid w:val="30334B55"/>
    <w:rsid w:val="30C9113B"/>
    <w:rsid w:val="317617CB"/>
    <w:rsid w:val="31CA628E"/>
    <w:rsid w:val="326E20D9"/>
    <w:rsid w:val="327A2A20"/>
    <w:rsid w:val="35634F9A"/>
    <w:rsid w:val="35B637C3"/>
    <w:rsid w:val="35D70997"/>
    <w:rsid w:val="364944FB"/>
    <w:rsid w:val="36804BA6"/>
    <w:rsid w:val="38AF0395"/>
    <w:rsid w:val="3B202CC9"/>
    <w:rsid w:val="3D381641"/>
    <w:rsid w:val="3EF81A54"/>
    <w:rsid w:val="3EFC5C2C"/>
    <w:rsid w:val="3F7F0CD4"/>
    <w:rsid w:val="3FA22D0E"/>
    <w:rsid w:val="3FF7C12B"/>
    <w:rsid w:val="429E645D"/>
    <w:rsid w:val="452403F0"/>
    <w:rsid w:val="4636055E"/>
    <w:rsid w:val="46667D6A"/>
    <w:rsid w:val="4AA361CC"/>
    <w:rsid w:val="4AA577B6"/>
    <w:rsid w:val="4C2F4236"/>
    <w:rsid w:val="4DF04E21"/>
    <w:rsid w:val="4DF55042"/>
    <w:rsid w:val="4E1216B9"/>
    <w:rsid w:val="4EBE4E15"/>
    <w:rsid w:val="510312D5"/>
    <w:rsid w:val="5252669C"/>
    <w:rsid w:val="52A054C0"/>
    <w:rsid w:val="52D37E4D"/>
    <w:rsid w:val="53077268"/>
    <w:rsid w:val="54214779"/>
    <w:rsid w:val="55101B7A"/>
    <w:rsid w:val="573C3213"/>
    <w:rsid w:val="590113B4"/>
    <w:rsid w:val="590E55C8"/>
    <w:rsid w:val="59B41875"/>
    <w:rsid w:val="5A053928"/>
    <w:rsid w:val="5A660630"/>
    <w:rsid w:val="5EA81D3F"/>
    <w:rsid w:val="60B64216"/>
    <w:rsid w:val="60BC5B58"/>
    <w:rsid w:val="60D9639A"/>
    <w:rsid w:val="61706FBC"/>
    <w:rsid w:val="635B261A"/>
    <w:rsid w:val="65640D13"/>
    <w:rsid w:val="65E32635"/>
    <w:rsid w:val="6643553D"/>
    <w:rsid w:val="670A6F51"/>
    <w:rsid w:val="6A6575CE"/>
    <w:rsid w:val="6B2521FD"/>
    <w:rsid w:val="6BFC005B"/>
    <w:rsid w:val="6DFF3C08"/>
    <w:rsid w:val="6F1D07E7"/>
    <w:rsid w:val="703021B7"/>
    <w:rsid w:val="728F406F"/>
    <w:rsid w:val="72D60383"/>
    <w:rsid w:val="7300726F"/>
    <w:rsid w:val="730F6C56"/>
    <w:rsid w:val="73434632"/>
    <w:rsid w:val="73FB3720"/>
    <w:rsid w:val="7463666F"/>
    <w:rsid w:val="767D9F53"/>
    <w:rsid w:val="799B33D8"/>
    <w:rsid w:val="7D802B6E"/>
    <w:rsid w:val="7E7F9797"/>
    <w:rsid w:val="7EF969B3"/>
    <w:rsid w:val="7FA9ECC1"/>
    <w:rsid w:val="7FF312FC"/>
    <w:rsid w:val="7FFCFA6E"/>
    <w:rsid w:val="A59E26A7"/>
    <w:rsid w:val="AF7FA18B"/>
    <w:rsid w:val="B6CB9F8C"/>
    <w:rsid w:val="CBDC2613"/>
    <w:rsid w:val="D5998AD9"/>
    <w:rsid w:val="D7E00C3A"/>
    <w:rsid w:val="F47F339D"/>
    <w:rsid w:val="F5BBBD86"/>
    <w:rsid w:val="F6AD8256"/>
    <w:rsid w:val="FDD755F1"/>
    <w:rsid w:val="FDF75414"/>
    <w:rsid w:val="FFF39A30"/>
    <w:rsid w:val="FFFB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120"/>
      <w:contextualSpacing/>
      <w:outlineLvl w:val="0"/>
    </w:pPr>
    <w:rPr>
      <w:rFonts w:asciiTheme="majorHAnsi" w:hAnsiTheme="majorHAnsi"/>
      <w:color w:val="2E75B6" w:themeColor="accent1" w:themeShade="BF"/>
      <w:sz w:val="36"/>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20"/>
      <w:szCs w:val="20"/>
    </w:rPr>
  </w:style>
  <w:style w:type="paragraph" w:styleId="6">
    <w:name w:val="index 8"/>
    <w:basedOn w:val="1"/>
    <w:next w:val="1"/>
    <w:qFormat/>
    <w:uiPriority w:val="0"/>
    <w:pPr>
      <w:ind w:left="1680" w:hanging="210"/>
    </w:pPr>
  </w:style>
  <w:style w:type="paragraph" w:styleId="7">
    <w:name w:val="index 5"/>
    <w:basedOn w:val="1"/>
    <w:next w:val="1"/>
    <w:qFormat/>
    <w:uiPriority w:val="0"/>
    <w:pPr>
      <w:ind w:left="1050" w:hanging="210"/>
    </w:pPr>
  </w:style>
  <w:style w:type="paragraph" w:styleId="8">
    <w:name w:val="index 6"/>
    <w:basedOn w:val="1"/>
    <w:next w:val="1"/>
    <w:qFormat/>
    <w:uiPriority w:val="0"/>
    <w:pPr>
      <w:ind w:left="1260" w:hanging="210"/>
    </w:pPr>
  </w:style>
  <w:style w:type="paragraph" w:styleId="9">
    <w:name w:val="index 4"/>
    <w:basedOn w:val="1"/>
    <w:next w:val="1"/>
    <w:qFormat/>
    <w:uiPriority w:val="0"/>
    <w:pPr>
      <w:ind w:left="840" w:hanging="210"/>
    </w:pPr>
  </w:style>
  <w:style w:type="paragraph" w:styleId="10">
    <w:name w:val="toc 5"/>
    <w:basedOn w:val="1"/>
    <w:next w:val="1"/>
    <w:qFormat/>
    <w:uiPriority w:val="0"/>
    <w:pPr>
      <w:ind w:left="840"/>
      <w:jc w:val="left"/>
    </w:pPr>
    <w:rPr>
      <w:sz w:val="20"/>
      <w:szCs w:val="20"/>
    </w:rPr>
  </w:style>
  <w:style w:type="paragraph" w:styleId="11">
    <w:name w:val="toc 3"/>
    <w:basedOn w:val="1"/>
    <w:next w:val="1"/>
    <w:unhideWhenUsed/>
    <w:qFormat/>
    <w:uiPriority w:val="39"/>
    <w:pPr>
      <w:ind w:left="420"/>
      <w:jc w:val="left"/>
    </w:pPr>
    <w:rPr>
      <w:sz w:val="20"/>
      <w:szCs w:val="20"/>
    </w:rPr>
  </w:style>
  <w:style w:type="paragraph" w:styleId="12">
    <w:name w:val="toc 8"/>
    <w:basedOn w:val="1"/>
    <w:next w:val="1"/>
    <w:qFormat/>
    <w:uiPriority w:val="0"/>
    <w:pPr>
      <w:ind w:left="1470"/>
      <w:jc w:val="left"/>
    </w:pPr>
    <w:rPr>
      <w:sz w:val="20"/>
      <w:szCs w:val="20"/>
    </w:rPr>
  </w:style>
  <w:style w:type="paragraph" w:styleId="13">
    <w:name w:val="index 3"/>
    <w:basedOn w:val="1"/>
    <w:next w:val="1"/>
    <w:qFormat/>
    <w:uiPriority w:val="0"/>
    <w:pPr>
      <w:ind w:left="630" w:hanging="210"/>
    </w:pPr>
  </w:style>
  <w:style w:type="paragraph" w:styleId="14">
    <w:name w:val="Balloon Text"/>
    <w:basedOn w:val="1"/>
    <w:link w:val="43"/>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b/>
      <w:bCs/>
      <w:i/>
      <w:iCs/>
      <w:sz w:val="24"/>
    </w:rPr>
  </w:style>
  <w:style w:type="paragraph" w:styleId="18">
    <w:name w:val="toc 4"/>
    <w:basedOn w:val="1"/>
    <w:next w:val="1"/>
    <w:qFormat/>
    <w:uiPriority w:val="0"/>
    <w:pPr>
      <w:ind w:left="630"/>
      <w:jc w:val="left"/>
    </w:pPr>
    <w:rPr>
      <w:sz w:val="20"/>
      <w:szCs w:val="20"/>
    </w:rPr>
  </w:style>
  <w:style w:type="paragraph" w:styleId="19">
    <w:name w:val="index heading"/>
    <w:basedOn w:val="1"/>
    <w:next w:val="20"/>
    <w:qFormat/>
    <w:uiPriority w:val="0"/>
  </w:style>
  <w:style w:type="paragraph" w:styleId="20">
    <w:name w:val="index 1"/>
    <w:basedOn w:val="1"/>
    <w:next w:val="1"/>
    <w:qFormat/>
    <w:uiPriority w:val="0"/>
    <w:pPr>
      <w:ind w:left="210" w:hanging="210"/>
    </w:pPr>
  </w:style>
  <w:style w:type="paragraph" w:styleId="21">
    <w:name w:val="toc 6"/>
    <w:basedOn w:val="1"/>
    <w:next w:val="1"/>
    <w:qFormat/>
    <w:uiPriority w:val="0"/>
    <w:pPr>
      <w:ind w:left="1050"/>
      <w:jc w:val="left"/>
    </w:pPr>
    <w:rPr>
      <w:sz w:val="20"/>
      <w:szCs w:val="20"/>
    </w:rPr>
  </w:style>
  <w:style w:type="paragraph" w:styleId="22">
    <w:name w:val="index 7"/>
    <w:basedOn w:val="1"/>
    <w:next w:val="1"/>
    <w:qFormat/>
    <w:uiPriority w:val="0"/>
    <w:pPr>
      <w:ind w:left="1470" w:hanging="210"/>
    </w:pPr>
  </w:style>
  <w:style w:type="paragraph" w:styleId="23">
    <w:name w:val="index 9"/>
    <w:basedOn w:val="1"/>
    <w:next w:val="1"/>
    <w:qFormat/>
    <w:uiPriority w:val="0"/>
    <w:pPr>
      <w:ind w:left="1890" w:hanging="210"/>
    </w:pPr>
  </w:style>
  <w:style w:type="paragraph" w:styleId="24">
    <w:name w:val="table of figures"/>
    <w:basedOn w:val="1"/>
    <w:next w:val="1"/>
    <w:qFormat/>
    <w:uiPriority w:val="0"/>
    <w:pPr>
      <w:ind w:left="420" w:hanging="420"/>
    </w:pPr>
  </w:style>
  <w:style w:type="paragraph" w:styleId="25">
    <w:name w:val="toc 2"/>
    <w:basedOn w:val="1"/>
    <w:next w:val="1"/>
    <w:unhideWhenUsed/>
    <w:qFormat/>
    <w:uiPriority w:val="39"/>
    <w:pPr>
      <w:spacing w:before="120"/>
      <w:ind w:left="210"/>
      <w:jc w:val="left"/>
    </w:pPr>
    <w:rPr>
      <w:b/>
      <w:bCs/>
      <w:sz w:val="22"/>
      <w:szCs w:val="22"/>
    </w:rPr>
  </w:style>
  <w:style w:type="paragraph" w:styleId="26">
    <w:name w:val="toc 9"/>
    <w:basedOn w:val="1"/>
    <w:next w:val="1"/>
    <w:qFormat/>
    <w:uiPriority w:val="0"/>
    <w:pPr>
      <w:ind w:left="1680"/>
      <w:jc w:val="left"/>
    </w:pPr>
    <w:rPr>
      <w:sz w:val="20"/>
      <w:szCs w:val="20"/>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index 2"/>
    <w:basedOn w:val="1"/>
    <w:next w:val="1"/>
    <w:qFormat/>
    <w:uiPriority w:val="0"/>
    <w:pPr>
      <w:ind w:left="420" w:hanging="210"/>
    </w:pPr>
  </w:style>
  <w:style w:type="paragraph" w:styleId="29">
    <w:name w:val="Title"/>
    <w:basedOn w:val="1"/>
    <w:next w:val="1"/>
    <w:link w:val="39"/>
    <w:qFormat/>
    <w:uiPriority w:val="0"/>
    <w:pPr>
      <w:spacing w:before="240" w:after="60"/>
      <w:jc w:val="center"/>
      <w:outlineLvl w:val="0"/>
    </w:pPr>
    <w:rPr>
      <w:rFonts w:asciiTheme="majorHAnsi" w:hAnsiTheme="majorHAnsi" w:eastAsiaTheme="majorEastAsia" w:cstheme="majorBidi"/>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qFormat/>
    <w:uiPriority w:val="99"/>
    <w:rPr>
      <w:color w:val="0000FF"/>
      <w:u w:val="single"/>
    </w:rPr>
  </w:style>
  <w:style w:type="character" w:customStyle="1" w:styleId="36">
    <w:name w:val="apple-converted-space"/>
    <w:basedOn w:val="32"/>
    <w:qFormat/>
    <w:uiPriority w:val="0"/>
  </w:style>
  <w:style w:type="paragraph" w:customStyle="1" w:styleId="37">
    <w:name w:val="TOC 标题1"/>
    <w:basedOn w:val="2"/>
    <w:next w:val="1"/>
    <w:unhideWhenUsed/>
    <w:qFormat/>
    <w:uiPriority w:val="39"/>
    <w:pPr>
      <w:keepNext/>
      <w:keepLines/>
      <w:widowControl/>
      <w:spacing w:before="480" w:after="0" w:line="276" w:lineRule="auto"/>
      <w:contextualSpacing w:val="0"/>
      <w:jc w:val="left"/>
      <w:outlineLvl w:val="9"/>
    </w:pPr>
    <w:rPr>
      <w:rFonts w:eastAsiaTheme="majorEastAsia" w:cstheme="majorBidi"/>
      <w:b/>
      <w:bCs/>
      <w:kern w:val="0"/>
      <w:sz w:val="28"/>
      <w:szCs w:val="28"/>
    </w:rPr>
  </w:style>
  <w:style w:type="paragraph" w:styleId="38">
    <w:name w:val="List Paragraph"/>
    <w:basedOn w:val="1"/>
    <w:qFormat/>
    <w:uiPriority w:val="99"/>
    <w:pPr>
      <w:ind w:firstLine="420" w:firstLineChars="200"/>
    </w:pPr>
  </w:style>
  <w:style w:type="character" w:customStyle="1" w:styleId="39">
    <w:name w:val="标题 字符"/>
    <w:basedOn w:val="32"/>
    <w:link w:val="29"/>
    <w:qFormat/>
    <w:uiPriority w:val="0"/>
    <w:rPr>
      <w:rFonts w:asciiTheme="majorHAnsi" w:hAnsiTheme="majorHAnsi" w:eastAsiaTheme="majorEastAsia" w:cstheme="majorBidi"/>
      <w:b/>
      <w:bCs/>
      <w:kern w:val="2"/>
      <w:sz w:val="32"/>
      <w:szCs w:val="32"/>
    </w:rPr>
  </w:style>
  <w:style w:type="character" w:customStyle="1" w:styleId="40">
    <w:name w:val="标题 2 字符"/>
    <w:basedOn w:val="32"/>
    <w:link w:val="3"/>
    <w:qFormat/>
    <w:uiPriority w:val="0"/>
    <w:rPr>
      <w:rFonts w:asciiTheme="majorHAnsi" w:hAnsiTheme="majorHAnsi" w:eastAsiaTheme="majorEastAsia" w:cstheme="majorBidi"/>
      <w:b/>
      <w:bCs/>
      <w:kern w:val="2"/>
      <w:sz w:val="32"/>
      <w:szCs w:val="32"/>
    </w:rPr>
  </w:style>
  <w:style w:type="character" w:customStyle="1" w:styleId="41">
    <w:name w:val="页脚 字符"/>
    <w:basedOn w:val="32"/>
    <w:link w:val="15"/>
    <w:qFormat/>
    <w:uiPriority w:val="0"/>
    <w:rPr>
      <w:rFonts w:asciiTheme="minorHAnsi" w:hAnsiTheme="minorHAnsi" w:eastAsiaTheme="minorEastAsia" w:cstheme="minorBidi"/>
      <w:kern w:val="2"/>
      <w:sz w:val="18"/>
      <w:szCs w:val="18"/>
    </w:rPr>
  </w:style>
  <w:style w:type="character" w:customStyle="1" w:styleId="42">
    <w:name w:val="页眉 字符"/>
    <w:basedOn w:val="32"/>
    <w:link w:val="16"/>
    <w:qFormat/>
    <w:uiPriority w:val="0"/>
    <w:rPr>
      <w:rFonts w:asciiTheme="minorHAnsi" w:hAnsiTheme="minorHAnsi" w:eastAsiaTheme="minorEastAsia" w:cstheme="minorBidi"/>
      <w:kern w:val="2"/>
      <w:sz w:val="18"/>
      <w:szCs w:val="18"/>
    </w:rPr>
  </w:style>
  <w:style w:type="character" w:customStyle="1" w:styleId="43">
    <w:name w:val="批注框文本 字符"/>
    <w:basedOn w:val="3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32</Pages>
  <Words>15992</Words>
  <Characters>18897</Characters>
  <Lines>220</Lines>
  <Paragraphs>61</Paragraphs>
  <TotalTime>31</TotalTime>
  <ScaleCrop>false</ScaleCrop>
  <LinksUpToDate>false</LinksUpToDate>
  <CharactersWithSpaces>19046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2023-09-10T18:59:00Z</dcterms:created>
  <dc:creator>不慌不忙</dc:creator>
  <cp:lastModifiedBy>An</cp:lastModifiedBy>
  <cp:lastPrinted>2021-03-06T16:21:00Z</cp:lastPrinted>
  <dcterms:modified xsi:type="dcterms:W3CDTF">2024-08-29T15:10:30Z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4ACA1E94411048D6A9DC3C4169D8524E_13</vt:lpwstr>
  </property>
</Properties>
</file>