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F4069">
      <w:pPr>
        <w:pStyle w:val="11"/>
        <w:tabs>
          <w:tab w:val="right" w:leader="dot" w:pos="8306"/>
        </w:tabs>
        <w:jc w:val="cente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instrText xml:space="preserve"> HYPERLINK "https://icd.ncepu.edu.cn/docs//2022-02/7de895fc6c0e419abbae348204813c20.docx" </w:instrText>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separate"/>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202</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5</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-20</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26</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学年</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秋季学期</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本科生交流项目目录</w:t>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end"/>
      </w:r>
    </w:p>
    <w:p w14:paraId="5C9B39AA">
      <w:pP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pPr>
    </w:p>
    <w:p w14:paraId="0137512A">
      <w:pPr>
        <w:pStyle w:val="17"/>
        <w:tabs>
          <w:tab w:val="right" w:leader="middleDot" w:pos="8306"/>
        </w:tabs>
      </w:pPr>
      <w:bookmarkStart w:id="43" w:name="_GoBack"/>
      <w:r>
        <w:rPr>
          <w:rFonts w:ascii="楷体" w:hAnsi="楷体" w:eastAsia="楷体"/>
          <w:sz w:val="28"/>
          <w:szCs w:val="28"/>
        </w:rPr>
        <w:fldChar w:fldCharType="begin"/>
      </w:r>
      <w:r>
        <w:rPr>
          <w:rFonts w:ascii="楷体" w:hAnsi="楷体" w:eastAsia="楷体"/>
          <w:sz w:val="28"/>
          <w:szCs w:val="28"/>
        </w:rPr>
        <w:instrText xml:space="preserve"> </w:instrText>
      </w:r>
      <w:r>
        <w:rPr>
          <w:rFonts w:hint="eastAsia" w:ascii="楷体" w:hAnsi="楷体" w:eastAsia="楷体"/>
          <w:sz w:val="28"/>
          <w:szCs w:val="28"/>
        </w:rPr>
        <w:instrText xml:space="preserve">TOC \o "1-3" \h \z \u</w:instrText>
      </w:r>
      <w:r>
        <w:rPr>
          <w:rFonts w:ascii="楷体" w:hAnsi="楷体" w:eastAsia="楷体"/>
          <w:sz w:val="28"/>
          <w:szCs w:val="28"/>
        </w:rPr>
        <w:instrText xml:space="preserve"> </w:instrText>
      </w:r>
      <w:r>
        <w:rPr>
          <w:rFonts w:ascii="楷体" w:hAnsi="楷体" w:eastAsia="楷体"/>
          <w:sz w:val="28"/>
          <w:szCs w:val="28"/>
        </w:rPr>
        <w:fldChar w:fldCharType="separate"/>
      </w:r>
      <w:r>
        <w:rPr>
          <w:rFonts w:ascii="楷体" w:hAnsi="楷体" w:eastAsia="楷体"/>
          <w:szCs w:val="28"/>
        </w:rPr>
        <w:fldChar w:fldCharType="begin"/>
      </w:r>
      <w:r>
        <w:rPr>
          <w:rFonts w:ascii="楷体" w:hAnsi="楷体" w:eastAsia="楷体"/>
          <w:szCs w:val="28"/>
        </w:rPr>
        <w:instrText xml:space="preserve"> HYPERLINK \l _Toc14787 </w:instrText>
      </w:r>
      <w:r>
        <w:rPr>
          <w:rFonts w:ascii="楷体" w:hAnsi="楷体" w:eastAsia="楷体"/>
          <w:szCs w:val="28"/>
        </w:rPr>
        <w:fldChar w:fldCharType="separate"/>
      </w:r>
      <w:r>
        <w:rPr>
          <w:rFonts w:hint="eastAsia"/>
        </w:rPr>
        <w:t>本科双学位项目</w:t>
      </w:r>
      <w:r>
        <w:tab/>
      </w:r>
      <w:r>
        <w:fldChar w:fldCharType="begin"/>
      </w:r>
      <w:r>
        <w:instrText xml:space="preserve"> PAGEREF _Toc14787 \h </w:instrText>
      </w:r>
      <w:r>
        <w:fldChar w:fldCharType="separate"/>
      </w:r>
      <w:r>
        <w:t>2</w:t>
      </w:r>
      <w:r>
        <w:fldChar w:fldCharType="end"/>
      </w:r>
      <w:r>
        <w:rPr>
          <w:rFonts w:ascii="楷体" w:hAnsi="楷体" w:eastAsia="楷体"/>
          <w:szCs w:val="28"/>
        </w:rPr>
        <w:fldChar w:fldCharType="end"/>
      </w:r>
    </w:p>
    <w:p w14:paraId="7B021FAB">
      <w:pPr>
        <w:pStyle w:val="11"/>
        <w:tabs>
          <w:tab w:val="right" w:leader="middleDot" w:pos="8306"/>
        </w:tabs>
      </w:pPr>
      <w:r>
        <w:rPr>
          <w:rFonts w:ascii="楷体" w:hAnsi="楷体" w:eastAsia="楷体"/>
          <w:szCs w:val="28"/>
        </w:rPr>
        <w:fldChar w:fldCharType="begin"/>
      </w:r>
      <w:r>
        <w:rPr>
          <w:rFonts w:ascii="楷体" w:hAnsi="楷体" w:eastAsia="楷体"/>
          <w:szCs w:val="28"/>
        </w:rPr>
        <w:instrText xml:space="preserve"> HYPERLINK \l _Toc4254 </w:instrText>
      </w:r>
      <w:r>
        <w:rPr>
          <w:rFonts w:ascii="楷体" w:hAnsi="楷体" w:eastAsia="楷体"/>
          <w:szCs w:val="28"/>
        </w:rPr>
        <w:fldChar w:fldCharType="separate"/>
      </w:r>
      <w:r>
        <w:rPr>
          <w:rFonts w:hint="eastAsia" w:ascii="仿宋" w:hAnsi="仿宋" w:eastAsia="仿宋"/>
          <w:szCs w:val="36"/>
        </w:rPr>
        <w:t>法国格勒诺布尔理工大学</w:t>
      </w:r>
      <w:r>
        <w:tab/>
      </w:r>
      <w:r>
        <w:fldChar w:fldCharType="begin"/>
      </w:r>
      <w:r>
        <w:instrText xml:space="preserve"> PAGEREF _Toc4254 \h </w:instrText>
      </w:r>
      <w:r>
        <w:fldChar w:fldCharType="separate"/>
      </w:r>
      <w:r>
        <w:t>2</w:t>
      </w:r>
      <w:r>
        <w:fldChar w:fldCharType="end"/>
      </w:r>
      <w:r>
        <w:rPr>
          <w:rFonts w:ascii="楷体" w:hAnsi="楷体" w:eastAsia="楷体"/>
          <w:szCs w:val="28"/>
        </w:rPr>
        <w:fldChar w:fldCharType="end"/>
      </w:r>
    </w:p>
    <w:p w14:paraId="725F8CF7">
      <w:pPr>
        <w:pStyle w:val="11"/>
        <w:tabs>
          <w:tab w:val="right" w:leader="middleDot" w:pos="8306"/>
        </w:tabs>
      </w:pPr>
      <w:r>
        <w:rPr>
          <w:rFonts w:ascii="楷体" w:hAnsi="楷体" w:eastAsia="楷体"/>
          <w:szCs w:val="28"/>
        </w:rPr>
        <w:fldChar w:fldCharType="begin"/>
      </w:r>
      <w:r>
        <w:rPr>
          <w:rFonts w:ascii="楷体" w:hAnsi="楷体" w:eastAsia="楷体"/>
          <w:szCs w:val="28"/>
        </w:rPr>
        <w:instrText xml:space="preserve"> HYPERLINK \l _Toc9208 </w:instrText>
      </w:r>
      <w:r>
        <w:rPr>
          <w:rFonts w:ascii="楷体" w:hAnsi="楷体" w:eastAsia="楷体"/>
          <w:szCs w:val="28"/>
        </w:rPr>
        <w:fldChar w:fldCharType="separate"/>
      </w:r>
      <w:r>
        <w:rPr>
          <w:rFonts w:hint="eastAsia" w:ascii="仿宋" w:hAnsi="仿宋" w:eastAsia="仿宋"/>
          <w:szCs w:val="36"/>
        </w:rPr>
        <w:t>英国利兹大学</w:t>
      </w:r>
      <w:r>
        <w:tab/>
      </w:r>
      <w:r>
        <w:fldChar w:fldCharType="begin"/>
      </w:r>
      <w:r>
        <w:instrText xml:space="preserve"> PAGEREF _Toc9208 \h </w:instrText>
      </w:r>
      <w:r>
        <w:fldChar w:fldCharType="separate"/>
      </w:r>
      <w:r>
        <w:t>3</w:t>
      </w:r>
      <w:r>
        <w:fldChar w:fldCharType="end"/>
      </w:r>
      <w:r>
        <w:rPr>
          <w:rFonts w:ascii="楷体" w:hAnsi="楷体" w:eastAsia="楷体"/>
          <w:szCs w:val="28"/>
        </w:rPr>
        <w:fldChar w:fldCharType="end"/>
      </w:r>
    </w:p>
    <w:p w14:paraId="5E1DE312">
      <w:pPr>
        <w:pStyle w:val="17"/>
        <w:tabs>
          <w:tab w:val="right" w:leader="middleDot" w:pos="8306"/>
        </w:tabs>
        <w:rPr>
          <w:rFonts w:ascii="楷体" w:hAnsi="楷体" w:eastAsia="楷体"/>
          <w:szCs w:val="28"/>
        </w:rPr>
      </w:pPr>
      <w:r>
        <w:rPr>
          <w:rFonts w:ascii="楷体" w:hAnsi="楷体" w:eastAsia="楷体"/>
          <w:szCs w:val="28"/>
        </w:rPr>
        <w:fldChar w:fldCharType="begin"/>
      </w:r>
      <w:r>
        <w:rPr>
          <w:rFonts w:ascii="楷体" w:hAnsi="楷体" w:eastAsia="楷体"/>
          <w:szCs w:val="28"/>
        </w:rPr>
        <w:instrText xml:space="preserve"> HYPERLINK \l _Toc19030 </w:instrText>
      </w:r>
      <w:r>
        <w:rPr>
          <w:rFonts w:ascii="楷体" w:hAnsi="楷体" w:eastAsia="楷体"/>
          <w:szCs w:val="28"/>
        </w:rPr>
        <w:fldChar w:fldCharType="separate"/>
      </w:r>
      <w:r>
        <w:rPr>
          <w:rFonts w:hint="eastAsia"/>
        </w:rPr>
        <w:t>免学费项目</w:t>
      </w:r>
      <w:r>
        <w:tab/>
      </w:r>
      <w:r>
        <w:fldChar w:fldCharType="begin"/>
      </w:r>
      <w:r>
        <w:instrText xml:space="preserve"> PAGEREF _Toc19030 \h </w:instrText>
      </w:r>
      <w:r>
        <w:fldChar w:fldCharType="separate"/>
      </w:r>
      <w:r>
        <w:t>4</w:t>
      </w:r>
      <w:r>
        <w:fldChar w:fldCharType="end"/>
      </w:r>
      <w:r>
        <w:rPr>
          <w:rFonts w:ascii="楷体" w:hAnsi="楷体" w:eastAsia="楷体"/>
          <w:szCs w:val="28"/>
        </w:rPr>
        <w:fldChar w:fldCharType="end"/>
      </w:r>
    </w:p>
    <w:p w14:paraId="66E394C9">
      <w:pPr>
        <w:pStyle w:val="11"/>
        <w:tabs>
          <w:tab w:val="right" w:leader="middleDot" w:pos="8306"/>
        </w:tabs>
      </w:pPr>
      <w:r>
        <w:rPr>
          <w:rFonts w:ascii="楷体" w:hAnsi="楷体" w:eastAsia="楷体"/>
          <w:color w:val="auto"/>
          <w:szCs w:val="28"/>
        </w:rPr>
        <w:fldChar w:fldCharType="begin"/>
      </w:r>
      <w:r>
        <w:rPr>
          <w:rFonts w:ascii="楷体" w:hAnsi="楷体" w:eastAsia="楷体"/>
          <w:color w:val="auto"/>
          <w:szCs w:val="28"/>
        </w:rPr>
        <w:instrText xml:space="preserve"> HYPERLINK \l _Toc5281 </w:instrText>
      </w:r>
      <w:r>
        <w:rPr>
          <w:rFonts w:ascii="楷体" w:hAnsi="楷体" w:eastAsia="楷体"/>
          <w:color w:val="auto"/>
          <w:szCs w:val="28"/>
        </w:rPr>
        <w:fldChar w:fldCharType="separate"/>
      </w:r>
      <w:r>
        <w:rPr>
          <w:rFonts w:hint="eastAsia" w:ascii="仿宋" w:hAnsi="仿宋" w:eastAsia="仿宋"/>
          <w:color w:val="auto"/>
          <w:szCs w:val="36"/>
          <w:lang w:val="en-US" w:eastAsia="zh-CN"/>
        </w:rPr>
        <w:t>意大利比萨</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_Toc5281 \h </w:instrText>
      </w:r>
      <w:r>
        <w:rPr>
          <w:color w:val="auto"/>
        </w:rPr>
        <w:fldChar w:fldCharType="separate"/>
      </w:r>
      <w:r>
        <w:rPr>
          <w:color w:val="auto"/>
        </w:rPr>
        <w:t>4</w:t>
      </w:r>
      <w:r>
        <w:rPr>
          <w:color w:val="auto"/>
        </w:rPr>
        <w:fldChar w:fldCharType="end"/>
      </w:r>
      <w:r>
        <w:rPr>
          <w:rFonts w:ascii="楷体" w:hAnsi="楷体" w:eastAsia="楷体"/>
          <w:color w:val="auto"/>
          <w:szCs w:val="28"/>
        </w:rPr>
        <w:fldChar w:fldCharType="end"/>
      </w:r>
    </w:p>
    <w:p w14:paraId="5E2340C8">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_Toc32106 </w:instrText>
      </w:r>
      <w:r>
        <w:rPr>
          <w:rFonts w:ascii="楷体" w:hAnsi="楷体" w:eastAsia="楷体"/>
          <w:color w:val="auto"/>
          <w:szCs w:val="28"/>
        </w:rPr>
        <w:fldChar w:fldCharType="separate"/>
      </w:r>
      <w:r>
        <w:rPr>
          <w:rFonts w:hint="eastAsia" w:ascii="仿宋" w:hAnsi="仿宋" w:eastAsia="仿宋" w:cs="仿宋"/>
          <w:color w:val="auto"/>
          <w:szCs w:val="36"/>
        </w:rPr>
        <w:t>德国柏林自由大学</w:t>
      </w:r>
      <w:r>
        <w:rPr>
          <w:color w:val="auto"/>
        </w:rPr>
        <w:tab/>
      </w:r>
      <w:r>
        <w:rPr>
          <w:color w:val="auto"/>
        </w:rPr>
        <w:fldChar w:fldCharType="begin"/>
      </w:r>
      <w:r>
        <w:rPr>
          <w:color w:val="auto"/>
        </w:rPr>
        <w:instrText xml:space="preserve"> PAGEREF _Toc32106 \h </w:instrText>
      </w:r>
      <w:r>
        <w:rPr>
          <w:color w:val="auto"/>
        </w:rPr>
        <w:fldChar w:fldCharType="separate"/>
      </w:r>
      <w:r>
        <w:rPr>
          <w:color w:val="auto"/>
        </w:rPr>
        <w:t>5</w:t>
      </w:r>
      <w:r>
        <w:rPr>
          <w:color w:val="auto"/>
        </w:rPr>
        <w:fldChar w:fldCharType="end"/>
      </w:r>
      <w:r>
        <w:rPr>
          <w:rFonts w:ascii="楷体" w:hAnsi="楷体" w:eastAsia="楷体"/>
          <w:color w:val="auto"/>
          <w:szCs w:val="28"/>
        </w:rPr>
        <w:fldChar w:fldCharType="end"/>
      </w:r>
    </w:p>
    <w:p w14:paraId="307499DC">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_Toc23380 </w:instrText>
      </w:r>
      <w:r>
        <w:rPr>
          <w:rFonts w:ascii="楷体" w:hAnsi="楷体" w:eastAsia="楷体"/>
          <w:color w:val="auto"/>
          <w:szCs w:val="28"/>
        </w:rPr>
        <w:fldChar w:fldCharType="separate"/>
      </w:r>
      <w:r>
        <w:rPr>
          <w:rFonts w:hint="eastAsia" w:ascii="仿宋" w:hAnsi="仿宋" w:eastAsia="仿宋"/>
          <w:color w:val="auto"/>
          <w:szCs w:val="36"/>
        </w:rPr>
        <w:t>德国勃兰登堡工业大学</w:t>
      </w:r>
      <w:r>
        <w:rPr>
          <w:color w:val="auto"/>
        </w:rPr>
        <w:tab/>
      </w:r>
      <w:r>
        <w:rPr>
          <w:color w:val="auto"/>
        </w:rPr>
        <w:fldChar w:fldCharType="begin"/>
      </w:r>
      <w:r>
        <w:rPr>
          <w:color w:val="auto"/>
        </w:rPr>
        <w:instrText xml:space="preserve"> PAGEREF _Toc23380 \h </w:instrText>
      </w:r>
      <w:r>
        <w:rPr>
          <w:color w:val="auto"/>
        </w:rPr>
        <w:fldChar w:fldCharType="separate"/>
      </w:r>
      <w:r>
        <w:rPr>
          <w:color w:val="auto"/>
        </w:rPr>
        <w:t>6</w:t>
      </w:r>
      <w:r>
        <w:rPr>
          <w:color w:val="auto"/>
        </w:rPr>
        <w:fldChar w:fldCharType="end"/>
      </w:r>
      <w:r>
        <w:rPr>
          <w:rFonts w:ascii="楷体" w:hAnsi="楷体" w:eastAsia="楷体"/>
          <w:color w:val="auto"/>
          <w:szCs w:val="28"/>
        </w:rPr>
        <w:fldChar w:fldCharType="end"/>
      </w:r>
    </w:p>
    <w:p w14:paraId="0C2CE01D">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_Toc24344 </w:instrText>
      </w:r>
      <w:r>
        <w:rPr>
          <w:rFonts w:ascii="楷体" w:hAnsi="楷体" w:eastAsia="楷体"/>
          <w:color w:val="auto"/>
          <w:szCs w:val="28"/>
        </w:rPr>
        <w:fldChar w:fldCharType="separate"/>
      </w:r>
      <w:r>
        <w:rPr>
          <w:rFonts w:hint="eastAsia" w:ascii="仿宋" w:hAnsi="仿宋" w:eastAsia="仿宋"/>
          <w:color w:val="auto"/>
          <w:szCs w:val="36"/>
        </w:rPr>
        <w:t>巴西坎皮纳斯大学</w:t>
      </w:r>
      <w:r>
        <w:rPr>
          <w:color w:val="auto"/>
        </w:rPr>
        <w:tab/>
      </w:r>
      <w:r>
        <w:rPr>
          <w:color w:val="auto"/>
        </w:rPr>
        <w:fldChar w:fldCharType="begin"/>
      </w:r>
      <w:r>
        <w:rPr>
          <w:color w:val="auto"/>
        </w:rPr>
        <w:instrText xml:space="preserve"> PAGEREF _Toc24344 \h </w:instrText>
      </w:r>
      <w:r>
        <w:rPr>
          <w:color w:val="auto"/>
        </w:rPr>
        <w:fldChar w:fldCharType="separate"/>
      </w:r>
      <w:r>
        <w:rPr>
          <w:color w:val="auto"/>
        </w:rPr>
        <w:t>7</w:t>
      </w:r>
      <w:r>
        <w:rPr>
          <w:color w:val="auto"/>
        </w:rPr>
        <w:fldChar w:fldCharType="end"/>
      </w:r>
      <w:r>
        <w:rPr>
          <w:rFonts w:ascii="楷体" w:hAnsi="楷体" w:eastAsia="楷体"/>
          <w:color w:val="auto"/>
          <w:szCs w:val="28"/>
        </w:rPr>
        <w:fldChar w:fldCharType="end"/>
      </w:r>
    </w:p>
    <w:p w14:paraId="2B8A2BCB">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_Toc12912 </w:instrText>
      </w:r>
      <w:r>
        <w:rPr>
          <w:rFonts w:ascii="楷体" w:hAnsi="楷体" w:eastAsia="楷体"/>
          <w:color w:val="auto"/>
          <w:szCs w:val="28"/>
        </w:rPr>
        <w:fldChar w:fldCharType="separate"/>
      </w:r>
      <w:r>
        <w:rPr>
          <w:rFonts w:hint="eastAsia" w:ascii="仿宋" w:hAnsi="仿宋" w:eastAsia="仿宋"/>
          <w:color w:val="auto"/>
          <w:szCs w:val="36"/>
        </w:rPr>
        <w:t>西班牙马德里理工大学</w:t>
      </w:r>
      <w:r>
        <w:rPr>
          <w:color w:val="auto"/>
        </w:rPr>
        <w:tab/>
      </w:r>
      <w:r>
        <w:rPr>
          <w:color w:val="auto"/>
        </w:rPr>
        <w:fldChar w:fldCharType="begin"/>
      </w:r>
      <w:r>
        <w:rPr>
          <w:color w:val="auto"/>
        </w:rPr>
        <w:instrText xml:space="preserve"> PAGEREF _Toc12912 \h </w:instrText>
      </w:r>
      <w:r>
        <w:rPr>
          <w:color w:val="auto"/>
        </w:rPr>
        <w:fldChar w:fldCharType="separate"/>
      </w:r>
      <w:r>
        <w:rPr>
          <w:color w:val="auto"/>
        </w:rPr>
        <w:t>8</w:t>
      </w:r>
      <w:r>
        <w:rPr>
          <w:color w:val="auto"/>
        </w:rPr>
        <w:fldChar w:fldCharType="end"/>
      </w:r>
      <w:r>
        <w:rPr>
          <w:rFonts w:ascii="楷体" w:hAnsi="楷体" w:eastAsia="楷体"/>
          <w:color w:val="auto"/>
          <w:szCs w:val="28"/>
        </w:rPr>
        <w:fldChar w:fldCharType="end"/>
      </w:r>
    </w:p>
    <w:p w14:paraId="5D86CE97">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_Toc14063 </w:instrText>
      </w:r>
      <w:r>
        <w:rPr>
          <w:rFonts w:ascii="楷体" w:hAnsi="楷体" w:eastAsia="楷体"/>
          <w:color w:val="auto"/>
          <w:szCs w:val="28"/>
        </w:rPr>
        <w:fldChar w:fldCharType="separate"/>
      </w:r>
      <w:r>
        <w:rPr>
          <w:rFonts w:hint="eastAsia" w:ascii="仿宋" w:hAnsi="仿宋" w:eastAsia="仿宋"/>
          <w:color w:val="auto"/>
          <w:szCs w:val="36"/>
        </w:rPr>
        <w:t>波兰弗罗茨瓦夫理工大学</w:t>
      </w:r>
      <w:r>
        <w:rPr>
          <w:color w:val="auto"/>
        </w:rPr>
        <w:tab/>
      </w:r>
      <w:r>
        <w:rPr>
          <w:color w:val="auto"/>
        </w:rPr>
        <w:fldChar w:fldCharType="begin"/>
      </w:r>
      <w:r>
        <w:rPr>
          <w:color w:val="auto"/>
        </w:rPr>
        <w:instrText xml:space="preserve"> PAGEREF _Toc14063 \h </w:instrText>
      </w:r>
      <w:r>
        <w:rPr>
          <w:color w:val="auto"/>
        </w:rPr>
        <w:fldChar w:fldCharType="separate"/>
      </w:r>
      <w:r>
        <w:rPr>
          <w:color w:val="auto"/>
        </w:rPr>
        <w:t>9</w:t>
      </w:r>
      <w:r>
        <w:rPr>
          <w:color w:val="auto"/>
        </w:rPr>
        <w:fldChar w:fldCharType="end"/>
      </w:r>
      <w:r>
        <w:rPr>
          <w:rFonts w:ascii="楷体" w:hAnsi="楷体" w:eastAsia="楷体"/>
          <w:color w:val="auto"/>
          <w:szCs w:val="28"/>
        </w:rPr>
        <w:fldChar w:fldCharType="end"/>
      </w:r>
    </w:p>
    <w:p w14:paraId="1E2F54C9">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_Toc7828 </w:instrText>
      </w:r>
      <w:r>
        <w:rPr>
          <w:rFonts w:ascii="楷体" w:hAnsi="楷体" w:eastAsia="楷体"/>
          <w:color w:val="auto"/>
          <w:szCs w:val="28"/>
        </w:rPr>
        <w:fldChar w:fldCharType="separate"/>
      </w:r>
      <w:r>
        <w:rPr>
          <w:rFonts w:hint="eastAsia" w:ascii="仿宋" w:hAnsi="仿宋" w:eastAsia="仿宋"/>
          <w:color w:val="auto"/>
          <w:szCs w:val="36"/>
        </w:rPr>
        <w:t>克罗地亚萨格勒布大学</w:t>
      </w:r>
      <w:r>
        <w:rPr>
          <w:color w:val="auto"/>
        </w:rPr>
        <w:tab/>
      </w:r>
      <w:r>
        <w:rPr>
          <w:color w:val="auto"/>
        </w:rPr>
        <w:fldChar w:fldCharType="begin"/>
      </w:r>
      <w:r>
        <w:rPr>
          <w:color w:val="auto"/>
        </w:rPr>
        <w:instrText xml:space="preserve"> PAGEREF _Toc7828 \h </w:instrText>
      </w:r>
      <w:r>
        <w:rPr>
          <w:color w:val="auto"/>
        </w:rPr>
        <w:fldChar w:fldCharType="separate"/>
      </w:r>
      <w:r>
        <w:rPr>
          <w:color w:val="auto"/>
        </w:rPr>
        <w:t>10</w:t>
      </w:r>
      <w:r>
        <w:rPr>
          <w:color w:val="auto"/>
        </w:rPr>
        <w:fldChar w:fldCharType="end"/>
      </w:r>
      <w:r>
        <w:rPr>
          <w:rFonts w:ascii="楷体" w:hAnsi="楷体" w:eastAsia="楷体"/>
          <w:color w:val="auto"/>
          <w:szCs w:val="28"/>
        </w:rPr>
        <w:fldChar w:fldCharType="end"/>
      </w:r>
    </w:p>
    <w:p w14:paraId="1E9F3D28">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_Toc30251 </w:instrText>
      </w:r>
      <w:r>
        <w:rPr>
          <w:rFonts w:ascii="楷体" w:hAnsi="楷体" w:eastAsia="楷体"/>
          <w:color w:val="auto"/>
          <w:szCs w:val="28"/>
        </w:rPr>
        <w:fldChar w:fldCharType="separate"/>
      </w:r>
      <w:r>
        <w:rPr>
          <w:rFonts w:hint="eastAsia" w:ascii="仿宋" w:hAnsi="仿宋" w:eastAsia="仿宋"/>
          <w:color w:val="auto"/>
          <w:szCs w:val="36"/>
          <w:lang w:val="en-US" w:eastAsia="zh-CN"/>
        </w:rPr>
        <w:t>俄罗斯乌拉尔国立经济</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_Toc30251 \h </w:instrText>
      </w:r>
      <w:r>
        <w:rPr>
          <w:color w:val="auto"/>
        </w:rPr>
        <w:fldChar w:fldCharType="separate"/>
      </w:r>
      <w:r>
        <w:rPr>
          <w:color w:val="auto"/>
        </w:rPr>
        <w:t>11</w:t>
      </w:r>
      <w:r>
        <w:rPr>
          <w:color w:val="auto"/>
        </w:rPr>
        <w:fldChar w:fldCharType="end"/>
      </w:r>
      <w:r>
        <w:rPr>
          <w:rFonts w:ascii="楷体" w:hAnsi="楷体" w:eastAsia="楷体"/>
          <w:color w:val="auto"/>
          <w:szCs w:val="28"/>
        </w:rPr>
        <w:fldChar w:fldCharType="end"/>
      </w:r>
    </w:p>
    <w:p w14:paraId="61935BDF">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_Toc14846 </w:instrText>
      </w:r>
      <w:r>
        <w:rPr>
          <w:rFonts w:ascii="楷体" w:hAnsi="楷体" w:eastAsia="楷体"/>
          <w:color w:val="auto"/>
          <w:szCs w:val="28"/>
        </w:rPr>
        <w:fldChar w:fldCharType="separate"/>
      </w:r>
      <w:r>
        <w:rPr>
          <w:rFonts w:hint="eastAsia" w:ascii="仿宋" w:hAnsi="仿宋" w:eastAsia="仿宋"/>
          <w:color w:val="auto"/>
          <w:szCs w:val="36"/>
        </w:rPr>
        <w:t>韩国首尔市立大学</w:t>
      </w:r>
      <w:r>
        <w:rPr>
          <w:color w:val="auto"/>
        </w:rPr>
        <w:tab/>
      </w:r>
      <w:r>
        <w:rPr>
          <w:color w:val="auto"/>
        </w:rPr>
        <w:fldChar w:fldCharType="begin"/>
      </w:r>
      <w:r>
        <w:rPr>
          <w:color w:val="auto"/>
        </w:rPr>
        <w:instrText xml:space="preserve"> PAGEREF _Toc14846 \h </w:instrText>
      </w:r>
      <w:r>
        <w:rPr>
          <w:color w:val="auto"/>
        </w:rPr>
        <w:fldChar w:fldCharType="separate"/>
      </w:r>
      <w:r>
        <w:rPr>
          <w:color w:val="auto"/>
        </w:rPr>
        <w:t>12</w:t>
      </w:r>
      <w:r>
        <w:rPr>
          <w:color w:val="auto"/>
        </w:rPr>
        <w:fldChar w:fldCharType="end"/>
      </w:r>
      <w:r>
        <w:rPr>
          <w:rFonts w:ascii="楷体" w:hAnsi="楷体" w:eastAsia="楷体"/>
          <w:color w:val="auto"/>
          <w:szCs w:val="28"/>
        </w:rPr>
        <w:fldChar w:fldCharType="end"/>
      </w:r>
    </w:p>
    <w:p w14:paraId="77B61690">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_Toc27692 </w:instrText>
      </w:r>
      <w:r>
        <w:rPr>
          <w:rFonts w:ascii="楷体" w:hAnsi="楷体" w:eastAsia="楷体"/>
          <w:color w:val="auto"/>
          <w:szCs w:val="28"/>
        </w:rPr>
        <w:fldChar w:fldCharType="separate"/>
      </w:r>
      <w:r>
        <w:rPr>
          <w:rFonts w:hint="eastAsia" w:ascii="仿宋" w:hAnsi="仿宋" w:eastAsia="仿宋"/>
          <w:color w:val="auto"/>
          <w:szCs w:val="36"/>
        </w:rPr>
        <w:t>韩国庆北大学</w:t>
      </w:r>
      <w:r>
        <w:rPr>
          <w:color w:val="auto"/>
        </w:rPr>
        <w:tab/>
      </w:r>
      <w:r>
        <w:rPr>
          <w:color w:val="auto"/>
        </w:rPr>
        <w:fldChar w:fldCharType="begin"/>
      </w:r>
      <w:r>
        <w:rPr>
          <w:color w:val="auto"/>
        </w:rPr>
        <w:instrText xml:space="preserve"> PAGEREF _Toc27692 \h </w:instrText>
      </w:r>
      <w:r>
        <w:rPr>
          <w:color w:val="auto"/>
        </w:rPr>
        <w:fldChar w:fldCharType="separate"/>
      </w:r>
      <w:r>
        <w:rPr>
          <w:color w:val="auto"/>
        </w:rPr>
        <w:t>13</w:t>
      </w:r>
      <w:r>
        <w:rPr>
          <w:color w:val="auto"/>
        </w:rPr>
        <w:fldChar w:fldCharType="end"/>
      </w:r>
      <w:r>
        <w:rPr>
          <w:rFonts w:ascii="楷体" w:hAnsi="楷体" w:eastAsia="楷体"/>
          <w:color w:val="auto"/>
          <w:szCs w:val="28"/>
        </w:rPr>
        <w:fldChar w:fldCharType="end"/>
      </w:r>
    </w:p>
    <w:p w14:paraId="52845E33">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_Toc1121 </w:instrText>
      </w:r>
      <w:r>
        <w:rPr>
          <w:rFonts w:ascii="楷体" w:hAnsi="楷体" w:eastAsia="楷体"/>
          <w:color w:val="auto"/>
          <w:szCs w:val="28"/>
        </w:rPr>
        <w:fldChar w:fldCharType="separate"/>
      </w:r>
      <w:r>
        <w:rPr>
          <w:rFonts w:hint="eastAsia" w:ascii="仿宋" w:hAnsi="仿宋" w:eastAsia="仿宋"/>
          <w:color w:val="auto"/>
          <w:szCs w:val="36"/>
        </w:rPr>
        <w:t>韩国淑明女子大学</w:t>
      </w:r>
      <w:r>
        <w:rPr>
          <w:color w:val="auto"/>
        </w:rPr>
        <w:tab/>
      </w:r>
      <w:r>
        <w:rPr>
          <w:color w:val="auto"/>
        </w:rPr>
        <w:fldChar w:fldCharType="begin"/>
      </w:r>
      <w:r>
        <w:rPr>
          <w:color w:val="auto"/>
        </w:rPr>
        <w:instrText xml:space="preserve"> PAGEREF _Toc1121 \h </w:instrText>
      </w:r>
      <w:r>
        <w:rPr>
          <w:color w:val="auto"/>
        </w:rPr>
        <w:fldChar w:fldCharType="separate"/>
      </w:r>
      <w:r>
        <w:rPr>
          <w:color w:val="auto"/>
        </w:rPr>
        <w:t>14</w:t>
      </w:r>
      <w:r>
        <w:rPr>
          <w:color w:val="auto"/>
        </w:rPr>
        <w:fldChar w:fldCharType="end"/>
      </w:r>
      <w:r>
        <w:rPr>
          <w:rFonts w:ascii="楷体" w:hAnsi="楷体" w:eastAsia="楷体"/>
          <w:color w:val="auto"/>
          <w:szCs w:val="28"/>
        </w:rPr>
        <w:fldChar w:fldCharType="end"/>
      </w:r>
    </w:p>
    <w:p w14:paraId="4483946B">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_Toc30839 </w:instrText>
      </w:r>
      <w:r>
        <w:rPr>
          <w:rFonts w:ascii="楷体" w:hAnsi="楷体" w:eastAsia="楷体"/>
          <w:color w:val="auto"/>
          <w:szCs w:val="28"/>
        </w:rPr>
        <w:fldChar w:fldCharType="separate"/>
      </w:r>
      <w:r>
        <w:rPr>
          <w:rFonts w:hint="eastAsia" w:ascii="仿宋" w:hAnsi="仿宋" w:eastAsia="仿宋"/>
          <w:color w:val="auto"/>
          <w:szCs w:val="36"/>
        </w:rPr>
        <w:t>韩国祥明大学</w:t>
      </w:r>
      <w:r>
        <w:rPr>
          <w:color w:val="auto"/>
        </w:rPr>
        <w:tab/>
      </w:r>
      <w:r>
        <w:rPr>
          <w:color w:val="auto"/>
        </w:rPr>
        <w:fldChar w:fldCharType="begin"/>
      </w:r>
      <w:r>
        <w:rPr>
          <w:color w:val="auto"/>
        </w:rPr>
        <w:instrText xml:space="preserve"> PAGEREF _Toc30839 \h </w:instrText>
      </w:r>
      <w:r>
        <w:rPr>
          <w:color w:val="auto"/>
        </w:rPr>
        <w:fldChar w:fldCharType="separate"/>
      </w:r>
      <w:r>
        <w:rPr>
          <w:color w:val="auto"/>
        </w:rPr>
        <w:t>15</w:t>
      </w:r>
      <w:r>
        <w:rPr>
          <w:color w:val="auto"/>
        </w:rPr>
        <w:fldChar w:fldCharType="end"/>
      </w:r>
      <w:r>
        <w:rPr>
          <w:rFonts w:ascii="楷体" w:hAnsi="楷体" w:eastAsia="楷体"/>
          <w:color w:val="auto"/>
          <w:szCs w:val="28"/>
        </w:rPr>
        <w:fldChar w:fldCharType="end"/>
      </w:r>
    </w:p>
    <w:p w14:paraId="1CAE1205">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_Toc19262 </w:instrText>
      </w:r>
      <w:r>
        <w:rPr>
          <w:rFonts w:ascii="楷体" w:hAnsi="楷体" w:eastAsia="楷体"/>
          <w:color w:val="auto"/>
          <w:szCs w:val="28"/>
        </w:rPr>
        <w:fldChar w:fldCharType="separate"/>
      </w:r>
      <w:r>
        <w:rPr>
          <w:rFonts w:hint="eastAsia" w:ascii="仿宋" w:hAnsi="仿宋" w:eastAsia="仿宋"/>
          <w:color w:val="auto"/>
          <w:szCs w:val="36"/>
          <w:highlight w:val="none"/>
        </w:rPr>
        <w:t>韩国光云大学</w:t>
      </w:r>
      <w:r>
        <w:rPr>
          <w:color w:val="auto"/>
        </w:rPr>
        <w:tab/>
      </w:r>
      <w:r>
        <w:rPr>
          <w:color w:val="auto"/>
        </w:rPr>
        <w:fldChar w:fldCharType="begin"/>
      </w:r>
      <w:r>
        <w:rPr>
          <w:color w:val="auto"/>
        </w:rPr>
        <w:instrText xml:space="preserve"> PAGEREF _Toc19262 \h </w:instrText>
      </w:r>
      <w:r>
        <w:rPr>
          <w:color w:val="auto"/>
        </w:rPr>
        <w:fldChar w:fldCharType="separate"/>
      </w:r>
      <w:r>
        <w:rPr>
          <w:color w:val="auto"/>
        </w:rPr>
        <w:t>16</w:t>
      </w:r>
      <w:r>
        <w:rPr>
          <w:color w:val="auto"/>
        </w:rPr>
        <w:fldChar w:fldCharType="end"/>
      </w:r>
      <w:r>
        <w:rPr>
          <w:rFonts w:ascii="楷体" w:hAnsi="楷体" w:eastAsia="楷体"/>
          <w:color w:val="auto"/>
          <w:szCs w:val="28"/>
        </w:rPr>
        <w:fldChar w:fldCharType="end"/>
      </w:r>
    </w:p>
    <w:p w14:paraId="65882860">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_Toc22077 </w:instrText>
      </w:r>
      <w:r>
        <w:rPr>
          <w:rFonts w:ascii="楷体" w:hAnsi="楷体" w:eastAsia="楷体"/>
          <w:color w:val="auto"/>
          <w:szCs w:val="28"/>
        </w:rPr>
        <w:fldChar w:fldCharType="separate"/>
      </w:r>
      <w:r>
        <w:rPr>
          <w:rFonts w:hint="eastAsia" w:ascii="仿宋" w:hAnsi="仿宋" w:eastAsia="仿宋"/>
          <w:color w:val="auto"/>
          <w:szCs w:val="36"/>
        </w:rPr>
        <w:t>韩国汉城大学</w:t>
      </w:r>
      <w:r>
        <w:rPr>
          <w:color w:val="auto"/>
        </w:rPr>
        <w:tab/>
      </w:r>
      <w:r>
        <w:rPr>
          <w:color w:val="auto"/>
        </w:rPr>
        <w:fldChar w:fldCharType="begin"/>
      </w:r>
      <w:r>
        <w:rPr>
          <w:color w:val="auto"/>
        </w:rPr>
        <w:instrText xml:space="preserve"> PAGEREF _Toc22077 \h </w:instrText>
      </w:r>
      <w:r>
        <w:rPr>
          <w:color w:val="auto"/>
        </w:rPr>
        <w:fldChar w:fldCharType="separate"/>
      </w:r>
      <w:r>
        <w:rPr>
          <w:color w:val="auto"/>
        </w:rPr>
        <w:t>17</w:t>
      </w:r>
      <w:r>
        <w:rPr>
          <w:color w:val="auto"/>
        </w:rPr>
        <w:fldChar w:fldCharType="end"/>
      </w:r>
      <w:r>
        <w:rPr>
          <w:rFonts w:ascii="楷体" w:hAnsi="楷体" w:eastAsia="楷体"/>
          <w:color w:val="auto"/>
          <w:szCs w:val="28"/>
        </w:rPr>
        <w:fldChar w:fldCharType="end"/>
      </w:r>
    </w:p>
    <w:p w14:paraId="4A852879">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_Toc14837 </w:instrText>
      </w:r>
      <w:r>
        <w:rPr>
          <w:rFonts w:ascii="楷体" w:hAnsi="楷体" w:eastAsia="楷体"/>
          <w:color w:val="auto"/>
          <w:szCs w:val="28"/>
        </w:rPr>
        <w:fldChar w:fldCharType="separate"/>
      </w:r>
      <w:r>
        <w:rPr>
          <w:rFonts w:hint="eastAsia" w:ascii="仿宋" w:hAnsi="仿宋" w:eastAsia="仿宋"/>
          <w:color w:val="auto"/>
          <w:szCs w:val="36"/>
        </w:rPr>
        <w:t>韩国韩巴大学</w:t>
      </w:r>
      <w:r>
        <w:rPr>
          <w:color w:val="auto"/>
        </w:rPr>
        <w:tab/>
      </w:r>
      <w:r>
        <w:rPr>
          <w:color w:val="auto"/>
        </w:rPr>
        <w:fldChar w:fldCharType="begin"/>
      </w:r>
      <w:r>
        <w:rPr>
          <w:color w:val="auto"/>
        </w:rPr>
        <w:instrText xml:space="preserve"> PAGEREF _Toc14837 \h </w:instrText>
      </w:r>
      <w:r>
        <w:rPr>
          <w:color w:val="auto"/>
        </w:rPr>
        <w:fldChar w:fldCharType="separate"/>
      </w:r>
      <w:r>
        <w:rPr>
          <w:color w:val="auto"/>
        </w:rPr>
        <w:t>19</w:t>
      </w:r>
      <w:r>
        <w:rPr>
          <w:color w:val="auto"/>
        </w:rPr>
        <w:fldChar w:fldCharType="end"/>
      </w:r>
      <w:r>
        <w:rPr>
          <w:rFonts w:ascii="楷体" w:hAnsi="楷体" w:eastAsia="楷体"/>
          <w:color w:val="auto"/>
          <w:szCs w:val="28"/>
        </w:rPr>
        <w:fldChar w:fldCharType="end"/>
      </w:r>
    </w:p>
    <w:p w14:paraId="25AAEE96">
      <w:pPr>
        <w:pStyle w:val="17"/>
        <w:tabs>
          <w:tab w:val="right" w:leader="middleDot" w:pos="8306"/>
        </w:tabs>
      </w:pPr>
      <w:r>
        <w:rPr>
          <w:rFonts w:ascii="楷体" w:hAnsi="楷体" w:eastAsia="楷体"/>
          <w:szCs w:val="28"/>
        </w:rPr>
        <w:fldChar w:fldCharType="begin"/>
      </w:r>
      <w:r>
        <w:rPr>
          <w:rFonts w:ascii="楷体" w:hAnsi="楷体" w:eastAsia="楷体"/>
          <w:szCs w:val="28"/>
        </w:rPr>
        <w:instrText xml:space="preserve"> HYPERLINK \l _Toc30548 </w:instrText>
      </w:r>
      <w:r>
        <w:rPr>
          <w:rFonts w:ascii="楷体" w:hAnsi="楷体" w:eastAsia="楷体"/>
          <w:szCs w:val="28"/>
        </w:rPr>
        <w:fldChar w:fldCharType="separate"/>
      </w:r>
      <w:r>
        <w:rPr>
          <w:rFonts w:hint="eastAsia" w:ascii="仿宋" w:hAnsi="仿宋" w:eastAsia="仿宋"/>
        </w:rPr>
        <w:t>自费项目</w:t>
      </w:r>
      <w:r>
        <w:tab/>
      </w:r>
      <w:r>
        <w:fldChar w:fldCharType="begin"/>
      </w:r>
      <w:r>
        <w:instrText xml:space="preserve"> PAGEREF _Toc30548 \h </w:instrText>
      </w:r>
      <w:r>
        <w:fldChar w:fldCharType="separate"/>
      </w:r>
      <w:r>
        <w:t>20</w:t>
      </w:r>
      <w:r>
        <w:fldChar w:fldCharType="end"/>
      </w:r>
      <w:r>
        <w:rPr>
          <w:rFonts w:ascii="楷体" w:hAnsi="楷体" w:eastAsia="楷体"/>
          <w:szCs w:val="28"/>
        </w:rPr>
        <w:fldChar w:fldCharType="end"/>
      </w:r>
    </w:p>
    <w:p w14:paraId="19059F9D">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_Toc10888 </w:instrText>
      </w:r>
      <w:r>
        <w:rPr>
          <w:rFonts w:ascii="楷体" w:hAnsi="楷体" w:eastAsia="楷体"/>
          <w:color w:val="auto"/>
          <w:szCs w:val="28"/>
        </w:rPr>
        <w:fldChar w:fldCharType="separate"/>
      </w:r>
      <w:r>
        <w:rPr>
          <w:rFonts w:hint="eastAsia" w:ascii="仿宋" w:hAnsi="仿宋" w:eastAsia="仿宋"/>
          <w:color w:val="auto"/>
          <w:szCs w:val="36"/>
        </w:rPr>
        <w:t>捷克技术大学</w:t>
      </w:r>
      <w:r>
        <w:rPr>
          <w:color w:val="auto"/>
        </w:rPr>
        <w:tab/>
      </w:r>
      <w:r>
        <w:rPr>
          <w:color w:val="auto"/>
        </w:rPr>
        <w:fldChar w:fldCharType="begin"/>
      </w:r>
      <w:r>
        <w:rPr>
          <w:color w:val="auto"/>
        </w:rPr>
        <w:instrText xml:space="preserve"> PAGEREF _Toc10888 \h </w:instrText>
      </w:r>
      <w:r>
        <w:rPr>
          <w:color w:val="auto"/>
        </w:rPr>
        <w:fldChar w:fldCharType="separate"/>
      </w:r>
      <w:r>
        <w:rPr>
          <w:color w:val="auto"/>
        </w:rPr>
        <w:t>20</w:t>
      </w:r>
      <w:r>
        <w:rPr>
          <w:color w:val="auto"/>
        </w:rPr>
        <w:fldChar w:fldCharType="end"/>
      </w:r>
      <w:r>
        <w:rPr>
          <w:rFonts w:ascii="楷体" w:hAnsi="楷体" w:eastAsia="楷体"/>
          <w:color w:val="auto"/>
          <w:szCs w:val="28"/>
        </w:rPr>
        <w:fldChar w:fldCharType="end"/>
      </w:r>
    </w:p>
    <w:p w14:paraId="7A1329AE">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_Toc9395 </w:instrText>
      </w:r>
      <w:r>
        <w:rPr>
          <w:rFonts w:ascii="楷体" w:hAnsi="楷体" w:eastAsia="楷体"/>
          <w:color w:val="auto"/>
          <w:szCs w:val="28"/>
        </w:rPr>
        <w:fldChar w:fldCharType="separate"/>
      </w:r>
      <w:r>
        <w:rPr>
          <w:rFonts w:hint="eastAsia" w:ascii="仿宋" w:hAnsi="仿宋" w:eastAsia="仿宋"/>
          <w:color w:val="auto"/>
          <w:szCs w:val="36"/>
          <w:lang w:val="en-US" w:eastAsia="zh-CN"/>
        </w:rPr>
        <w:t>英国利物浦</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_Toc9395 \h </w:instrText>
      </w:r>
      <w:r>
        <w:rPr>
          <w:color w:val="auto"/>
        </w:rPr>
        <w:fldChar w:fldCharType="separate"/>
      </w:r>
      <w:r>
        <w:rPr>
          <w:color w:val="auto"/>
        </w:rPr>
        <w:t>21</w:t>
      </w:r>
      <w:r>
        <w:rPr>
          <w:color w:val="auto"/>
        </w:rPr>
        <w:fldChar w:fldCharType="end"/>
      </w:r>
      <w:r>
        <w:rPr>
          <w:rFonts w:ascii="楷体" w:hAnsi="楷体" w:eastAsia="楷体"/>
          <w:color w:val="auto"/>
          <w:szCs w:val="28"/>
        </w:rPr>
        <w:fldChar w:fldCharType="end"/>
      </w:r>
    </w:p>
    <w:p w14:paraId="1D003A83">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_Toc18893 </w:instrText>
      </w:r>
      <w:r>
        <w:rPr>
          <w:rFonts w:ascii="楷体" w:hAnsi="楷体" w:eastAsia="楷体"/>
          <w:color w:val="auto"/>
          <w:szCs w:val="28"/>
        </w:rPr>
        <w:fldChar w:fldCharType="separate"/>
      </w:r>
      <w:r>
        <w:rPr>
          <w:rFonts w:hint="eastAsia" w:ascii="仿宋" w:hAnsi="仿宋" w:eastAsia="仿宋"/>
          <w:color w:val="auto"/>
          <w:szCs w:val="36"/>
        </w:rPr>
        <w:t>美国威斯康星大学密尔沃基分校（毕业设计项目）</w:t>
      </w:r>
      <w:r>
        <w:rPr>
          <w:color w:val="auto"/>
        </w:rPr>
        <w:tab/>
      </w:r>
      <w:r>
        <w:rPr>
          <w:color w:val="auto"/>
        </w:rPr>
        <w:fldChar w:fldCharType="begin"/>
      </w:r>
      <w:r>
        <w:rPr>
          <w:color w:val="auto"/>
        </w:rPr>
        <w:instrText xml:space="preserve"> PAGEREF _Toc18893 \h </w:instrText>
      </w:r>
      <w:r>
        <w:rPr>
          <w:color w:val="auto"/>
        </w:rPr>
        <w:fldChar w:fldCharType="separate"/>
      </w:r>
      <w:r>
        <w:rPr>
          <w:color w:val="auto"/>
        </w:rPr>
        <w:t>22</w:t>
      </w:r>
      <w:r>
        <w:rPr>
          <w:color w:val="auto"/>
        </w:rPr>
        <w:fldChar w:fldCharType="end"/>
      </w:r>
      <w:r>
        <w:rPr>
          <w:rFonts w:ascii="楷体" w:hAnsi="楷体" w:eastAsia="楷体"/>
          <w:color w:val="auto"/>
          <w:szCs w:val="28"/>
        </w:rPr>
        <w:fldChar w:fldCharType="end"/>
      </w:r>
    </w:p>
    <w:p w14:paraId="27C529E7">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_Toc29407 </w:instrText>
      </w:r>
      <w:r>
        <w:rPr>
          <w:rFonts w:ascii="楷体" w:hAnsi="楷体" w:eastAsia="楷体"/>
          <w:color w:val="auto"/>
          <w:szCs w:val="28"/>
        </w:rPr>
        <w:fldChar w:fldCharType="separate"/>
      </w:r>
      <w:r>
        <w:rPr>
          <w:rFonts w:hint="eastAsia" w:ascii="仿宋" w:hAnsi="仿宋" w:eastAsia="仿宋"/>
          <w:color w:val="auto"/>
          <w:szCs w:val="36"/>
        </w:rPr>
        <w:t>美国密歇根大学德尔本校区</w:t>
      </w:r>
      <w:r>
        <w:rPr>
          <w:color w:val="auto"/>
        </w:rPr>
        <w:tab/>
      </w:r>
      <w:r>
        <w:rPr>
          <w:color w:val="auto"/>
        </w:rPr>
        <w:fldChar w:fldCharType="begin"/>
      </w:r>
      <w:r>
        <w:rPr>
          <w:color w:val="auto"/>
        </w:rPr>
        <w:instrText xml:space="preserve"> PAGEREF _Toc29407 \h </w:instrText>
      </w:r>
      <w:r>
        <w:rPr>
          <w:color w:val="auto"/>
        </w:rPr>
        <w:fldChar w:fldCharType="separate"/>
      </w:r>
      <w:r>
        <w:rPr>
          <w:color w:val="auto"/>
        </w:rPr>
        <w:t>23</w:t>
      </w:r>
      <w:r>
        <w:rPr>
          <w:color w:val="auto"/>
        </w:rPr>
        <w:fldChar w:fldCharType="end"/>
      </w:r>
      <w:r>
        <w:rPr>
          <w:rFonts w:ascii="楷体" w:hAnsi="楷体" w:eastAsia="楷体"/>
          <w:color w:val="auto"/>
          <w:szCs w:val="28"/>
        </w:rPr>
        <w:fldChar w:fldCharType="end"/>
      </w:r>
    </w:p>
    <w:p w14:paraId="4BDD30B9">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_Toc29947 </w:instrText>
      </w:r>
      <w:r>
        <w:rPr>
          <w:rFonts w:ascii="楷体" w:hAnsi="楷体" w:eastAsia="楷体"/>
          <w:color w:val="auto"/>
          <w:szCs w:val="28"/>
        </w:rPr>
        <w:fldChar w:fldCharType="separate"/>
      </w:r>
      <w:r>
        <w:rPr>
          <w:rFonts w:hint="eastAsia" w:ascii="仿宋" w:hAnsi="仿宋" w:eastAsia="仿宋"/>
          <w:color w:val="auto"/>
          <w:szCs w:val="36"/>
        </w:rPr>
        <w:t>美国普渡大学西北校区</w:t>
      </w:r>
      <w:r>
        <w:rPr>
          <w:color w:val="auto"/>
        </w:rPr>
        <w:tab/>
      </w:r>
      <w:r>
        <w:rPr>
          <w:color w:val="auto"/>
        </w:rPr>
        <w:fldChar w:fldCharType="begin"/>
      </w:r>
      <w:r>
        <w:rPr>
          <w:color w:val="auto"/>
        </w:rPr>
        <w:instrText xml:space="preserve"> PAGEREF _Toc29947 \h </w:instrText>
      </w:r>
      <w:r>
        <w:rPr>
          <w:color w:val="auto"/>
        </w:rPr>
        <w:fldChar w:fldCharType="separate"/>
      </w:r>
      <w:r>
        <w:rPr>
          <w:color w:val="auto"/>
        </w:rPr>
        <w:t>24</w:t>
      </w:r>
      <w:r>
        <w:rPr>
          <w:color w:val="auto"/>
        </w:rPr>
        <w:fldChar w:fldCharType="end"/>
      </w:r>
      <w:r>
        <w:rPr>
          <w:rFonts w:ascii="楷体" w:hAnsi="楷体" w:eastAsia="楷体"/>
          <w:color w:val="auto"/>
          <w:szCs w:val="28"/>
        </w:rPr>
        <w:fldChar w:fldCharType="end"/>
      </w:r>
    </w:p>
    <w:p w14:paraId="503B478A">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_Toc25437 </w:instrText>
      </w:r>
      <w:r>
        <w:rPr>
          <w:rFonts w:ascii="楷体" w:hAnsi="楷体" w:eastAsia="楷体"/>
          <w:color w:val="auto"/>
          <w:szCs w:val="28"/>
        </w:rPr>
        <w:fldChar w:fldCharType="separate"/>
      </w:r>
      <w:r>
        <w:rPr>
          <w:rFonts w:hint="eastAsia" w:ascii="仿宋" w:hAnsi="仿宋" w:eastAsia="仿宋"/>
          <w:color w:val="auto"/>
          <w:szCs w:val="36"/>
        </w:rPr>
        <w:t>美国</w:t>
      </w:r>
      <w:r>
        <w:rPr>
          <w:rFonts w:hint="eastAsia" w:ascii="仿宋" w:hAnsi="仿宋" w:eastAsia="仿宋"/>
          <w:color w:val="auto"/>
          <w:szCs w:val="36"/>
          <w:lang w:val="en-US" w:eastAsia="zh-CN"/>
        </w:rPr>
        <w:t>加州大学河滨分校</w:t>
      </w:r>
      <w:r>
        <w:rPr>
          <w:color w:val="auto"/>
        </w:rPr>
        <w:tab/>
      </w:r>
      <w:r>
        <w:rPr>
          <w:color w:val="auto"/>
        </w:rPr>
        <w:fldChar w:fldCharType="begin"/>
      </w:r>
      <w:r>
        <w:rPr>
          <w:color w:val="auto"/>
        </w:rPr>
        <w:instrText xml:space="preserve"> PAGEREF _Toc25437 \h </w:instrText>
      </w:r>
      <w:r>
        <w:rPr>
          <w:color w:val="auto"/>
        </w:rPr>
        <w:fldChar w:fldCharType="separate"/>
      </w:r>
      <w:r>
        <w:rPr>
          <w:color w:val="auto"/>
        </w:rPr>
        <w:t>25</w:t>
      </w:r>
      <w:r>
        <w:rPr>
          <w:color w:val="auto"/>
        </w:rPr>
        <w:fldChar w:fldCharType="end"/>
      </w:r>
      <w:r>
        <w:rPr>
          <w:rFonts w:ascii="楷体" w:hAnsi="楷体" w:eastAsia="楷体"/>
          <w:color w:val="auto"/>
          <w:szCs w:val="28"/>
        </w:rPr>
        <w:fldChar w:fldCharType="end"/>
      </w:r>
    </w:p>
    <w:p w14:paraId="624D7D40">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_Toc13317 </w:instrText>
      </w:r>
      <w:r>
        <w:rPr>
          <w:rFonts w:ascii="楷体" w:hAnsi="楷体" w:eastAsia="楷体"/>
          <w:color w:val="auto"/>
          <w:szCs w:val="28"/>
        </w:rPr>
        <w:fldChar w:fldCharType="separate"/>
      </w:r>
      <w:r>
        <w:rPr>
          <w:rFonts w:hint="eastAsia" w:ascii="仿宋" w:hAnsi="仿宋" w:eastAsia="仿宋"/>
          <w:color w:val="auto"/>
          <w:szCs w:val="36"/>
        </w:rPr>
        <w:t>澳大利亚昆士兰大学</w:t>
      </w:r>
      <w:r>
        <w:rPr>
          <w:color w:val="auto"/>
        </w:rPr>
        <w:tab/>
      </w:r>
      <w:r>
        <w:rPr>
          <w:color w:val="auto"/>
        </w:rPr>
        <w:fldChar w:fldCharType="begin"/>
      </w:r>
      <w:r>
        <w:rPr>
          <w:color w:val="auto"/>
        </w:rPr>
        <w:instrText xml:space="preserve"> PAGEREF _Toc13317 \h </w:instrText>
      </w:r>
      <w:r>
        <w:rPr>
          <w:color w:val="auto"/>
        </w:rPr>
        <w:fldChar w:fldCharType="separate"/>
      </w:r>
      <w:r>
        <w:rPr>
          <w:color w:val="auto"/>
        </w:rPr>
        <w:t>26</w:t>
      </w:r>
      <w:r>
        <w:rPr>
          <w:color w:val="auto"/>
        </w:rPr>
        <w:fldChar w:fldCharType="end"/>
      </w:r>
      <w:r>
        <w:rPr>
          <w:rFonts w:ascii="楷体" w:hAnsi="楷体" w:eastAsia="楷体"/>
          <w:color w:val="auto"/>
          <w:szCs w:val="28"/>
        </w:rPr>
        <w:fldChar w:fldCharType="end"/>
      </w:r>
    </w:p>
    <w:p w14:paraId="0B0D1503">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_Toc16592 </w:instrText>
      </w:r>
      <w:r>
        <w:rPr>
          <w:rFonts w:ascii="楷体" w:hAnsi="楷体" w:eastAsia="楷体"/>
          <w:color w:val="auto"/>
          <w:szCs w:val="28"/>
        </w:rPr>
        <w:fldChar w:fldCharType="separate"/>
      </w:r>
      <w:r>
        <w:rPr>
          <w:rFonts w:hint="eastAsia" w:ascii="仿宋" w:hAnsi="仿宋" w:eastAsia="仿宋"/>
          <w:color w:val="auto"/>
          <w:szCs w:val="36"/>
        </w:rPr>
        <w:t>澳大利亚新南威尔士大学</w:t>
      </w:r>
      <w:r>
        <w:rPr>
          <w:color w:val="auto"/>
        </w:rPr>
        <w:tab/>
      </w:r>
      <w:r>
        <w:rPr>
          <w:color w:val="auto"/>
        </w:rPr>
        <w:fldChar w:fldCharType="begin"/>
      </w:r>
      <w:r>
        <w:rPr>
          <w:color w:val="auto"/>
        </w:rPr>
        <w:instrText xml:space="preserve"> PAGEREF _Toc16592 \h </w:instrText>
      </w:r>
      <w:r>
        <w:rPr>
          <w:color w:val="auto"/>
        </w:rPr>
        <w:fldChar w:fldCharType="separate"/>
      </w:r>
      <w:r>
        <w:rPr>
          <w:color w:val="auto"/>
        </w:rPr>
        <w:t>27</w:t>
      </w:r>
      <w:r>
        <w:rPr>
          <w:color w:val="auto"/>
        </w:rPr>
        <w:fldChar w:fldCharType="end"/>
      </w:r>
      <w:r>
        <w:rPr>
          <w:rFonts w:ascii="楷体" w:hAnsi="楷体" w:eastAsia="楷体"/>
          <w:color w:val="auto"/>
          <w:szCs w:val="28"/>
        </w:rPr>
        <w:fldChar w:fldCharType="end"/>
      </w:r>
    </w:p>
    <w:p w14:paraId="1D364983">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_Toc26517 </w:instrText>
      </w:r>
      <w:r>
        <w:rPr>
          <w:rFonts w:ascii="楷体" w:hAnsi="楷体" w:eastAsia="楷体"/>
          <w:color w:val="auto"/>
          <w:szCs w:val="28"/>
        </w:rPr>
        <w:fldChar w:fldCharType="separate"/>
      </w:r>
      <w:r>
        <w:rPr>
          <w:rFonts w:hint="eastAsia" w:ascii="仿宋" w:hAnsi="仿宋" w:eastAsia="仿宋"/>
          <w:color w:val="auto"/>
          <w:szCs w:val="36"/>
        </w:rPr>
        <w:t>澳大利亚纽卡斯尔大学</w:t>
      </w:r>
      <w:r>
        <w:rPr>
          <w:color w:val="auto"/>
        </w:rPr>
        <w:tab/>
      </w:r>
      <w:r>
        <w:rPr>
          <w:color w:val="auto"/>
        </w:rPr>
        <w:fldChar w:fldCharType="begin"/>
      </w:r>
      <w:r>
        <w:rPr>
          <w:color w:val="auto"/>
        </w:rPr>
        <w:instrText xml:space="preserve"> PAGEREF _Toc26517 \h </w:instrText>
      </w:r>
      <w:r>
        <w:rPr>
          <w:color w:val="auto"/>
        </w:rPr>
        <w:fldChar w:fldCharType="separate"/>
      </w:r>
      <w:r>
        <w:rPr>
          <w:color w:val="auto"/>
        </w:rPr>
        <w:t>28</w:t>
      </w:r>
      <w:r>
        <w:rPr>
          <w:color w:val="auto"/>
        </w:rPr>
        <w:fldChar w:fldCharType="end"/>
      </w:r>
      <w:r>
        <w:rPr>
          <w:rFonts w:ascii="楷体" w:hAnsi="楷体" w:eastAsia="楷体"/>
          <w:color w:val="auto"/>
          <w:szCs w:val="28"/>
        </w:rPr>
        <w:fldChar w:fldCharType="end"/>
      </w:r>
    </w:p>
    <w:p w14:paraId="1CB75DE3">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_Toc28551 </w:instrText>
      </w:r>
      <w:r>
        <w:rPr>
          <w:rFonts w:ascii="楷体" w:hAnsi="楷体" w:eastAsia="楷体"/>
          <w:color w:val="auto"/>
          <w:szCs w:val="28"/>
        </w:rPr>
        <w:fldChar w:fldCharType="separate"/>
      </w:r>
      <w:r>
        <w:rPr>
          <w:rFonts w:hint="eastAsia" w:ascii="仿宋" w:hAnsi="仿宋" w:eastAsia="仿宋"/>
          <w:color w:val="auto"/>
          <w:szCs w:val="36"/>
        </w:rPr>
        <w:t>澳大利亚昆士兰科技大学</w:t>
      </w:r>
      <w:r>
        <w:rPr>
          <w:color w:val="auto"/>
        </w:rPr>
        <w:tab/>
      </w:r>
      <w:r>
        <w:rPr>
          <w:color w:val="auto"/>
        </w:rPr>
        <w:fldChar w:fldCharType="begin"/>
      </w:r>
      <w:r>
        <w:rPr>
          <w:color w:val="auto"/>
        </w:rPr>
        <w:instrText xml:space="preserve"> PAGEREF _Toc28551 \h </w:instrText>
      </w:r>
      <w:r>
        <w:rPr>
          <w:color w:val="auto"/>
        </w:rPr>
        <w:fldChar w:fldCharType="separate"/>
      </w:r>
      <w:r>
        <w:rPr>
          <w:color w:val="auto"/>
        </w:rPr>
        <w:t>29</w:t>
      </w:r>
      <w:r>
        <w:rPr>
          <w:color w:val="auto"/>
        </w:rPr>
        <w:fldChar w:fldCharType="end"/>
      </w:r>
      <w:r>
        <w:rPr>
          <w:rFonts w:ascii="楷体" w:hAnsi="楷体" w:eastAsia="楷体"/>
          <w:color w:val="auto"/>
          <w:szCs w:val="28"/>
        </w:rPr>
        <w:fldChar w:fldCharType="end"/>
      </w:r>
    </w:p>
    <w:p w14:paraId="1198AF34">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_Toc30687 </w:instrText>
      </w:r>
      <w:r>
        <w:rPr>
          <w:rFonts w:ascii="楷体" w:hAnsi="楷体" w:eastAsia="楷体"/>
          <w:color w:val="auto"/>
          <w:szCs w:val="28"/>
        </w:rPr>
        <w:fldChar w:fldCharType="separate"/>
      </w:r>
      <w:r>
        <w:rPr>
          <w:rFonts w:hint="eastAsia" w:ascii="仿宋" w:hAnsi="仿宋" w:eastAsia="仿宋"/>
          <w:color w:val="auto"/>
          <w:szCs w:val="36"/>
        </w:rPr>
        <w:t>马来西亚马来亚大学</w:t>
      </w:r>
      <w:r>
        <w:rPr>
          <w:color w:val="auto"/>
        </w:rPr>
        <w:tab/>
      </w:r>
      <w:r>
        <w:rPr>
          <w:color w:val="auto"/>
        </w:rPr>
        <w:fldChar w:fldCharType="begin"/>
      </w:r>
      <w:r>
        <w:rPr>
          <w:color w:val="auto"/>
        </w:rPr>
        <w:instrText xml:space="preserve"> PAGEREF _Toc30687 \h </w:instrText>
      </w:r>
      <w:r>
        <w:rPr>
          <w:color w:val="auto"/>
        </w:rPr>
        <w:fldChar w:fldCharType="separate"/>
      </w:r>
      <w:r>
        <w:rPr>
          <w:color w:val="auto"/>
        </w:rPr>
        <w:t>30</w:t>
      </w:r>
      <w:r>
        <w:rPr>
          <w:color w:val="auto"/>
        </w:rPr>
        <w:fldChar w:fldCharType="end"/>
      </w:r>
      <w:r>
        <w:rPr>
          <w:rFonts w:ascii="楷体" w:hAnsi="楷体" w:eastAsia="楷体"/>
          <w:color w:val="auto"/>
          <w:szCs w:val="28"/>
        </w:rPr>
        <w:fldChar w:fldCharType="end"/>
      </w:r>
    </w:p>
    <w:p w14:paraId="6E589FB0">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_Toc32636 </w:instrText>
      </w:r>
      <w:r>
        <w:rPr>
          <w:rFonts w:ascii="楷体" w:hAnsi="楷体" w:eastAsia="楷体"/>
          <w:color w:val="auto"/>
          <w:szCs w:val="28"/>
        </w:rPr>
        <w:fldChar w:fldCharType="separate"/>
      </w:r>
      <w:r>
        <w:rPr>
          <w:rFonts w:hint="eastAsia" w:ascii="仿宋" w:hAnsi="仿宋" w:eastAsia="仿宋"/>
          <w:color w:val="auto"/>
          <w:szCs w:val="36"/>
        </w:rPr>
        <w:t>韩国延世大学</w:t>
      </w:r>
      <w:r>
        <w:rPr>
          <w:color w:val="auto"/>
        </w:rPr>
        <w:tab/>
      </w:r>
      <w:r>
        <w:rPr>
          <w:color w:val="auto"/>
        </w:rPr>
        <w:fldChar w:fldCharType="begin"/>
      </w:r>
      <w:r>
        <w:rPr>
          <w:color w:val="auto"/>
        </w:rPr>
        <w:instrText xml:space="preserve"> PAGEREF _Toc32636 \h </w:instrText>
      </w:r>
      <w:r>
        <w:rPr>
          <w:color w:val="auto"/>
        </w:rPr>
        <w:fldChar w:fldCharType="separate"/>
      </w:r>
      <w:r>
        <w:rPr>
          <w:color w:val="auto"/>
        </w:rPr>
        <w:t>32</w:t>
      </w:r>
      <w:r>
        <w:rPr>
          <w:color w:val="auto"/>
        </w:rPr>
        <w:fldChar w:fldCharType="end"/>
      </w:r>
      <w:r>
        <w:rPr>
          <w:rFonts w:ascii="楷体" w:hAnsi="楷体" w:eastAsia="楷体"/>
          <w:color w:val="auto"/>
          <w:szCs w:val="28"/>
        </w:rPr>
        <w:fldChar w:fldCharType="end"/>
      </w:r>
    </w:p>
    <w:p w14:paraId="55F02CAB">
      <w:pPr>
        <w:pStyle w:val="11"/>
        <w:tabs>
          <w:tab w:val="right" w:leader="middleDot" w:pos="8306"/>
        </w:tabs>
      </w:pPr>
      <w:r>
        <w:rPr>
          <w:rFonts w:ascii="楷体" w:hAnsi="楷体" w:eastAsia="楷体"/>
          <w:color w:val="auto"/>
          <w:szCs w:val="28"/>
        </w:rPr>
        <w:fldChar w:fldCharType="begin"/>
      </w:r>
      <w:r>
        <w:rPr>
          <w:rFonts w:ascii="楷体" w:hAnsi="楷体" w:eastAsia="楷体"/>
          <w:color w:val="auto"/>
          <w:szCs w:val="28"/>
        </w:rPr>
        <w:instrText xml:space="preserve"> HYPERLINK \l _Toc17192 </w:instrText>
      </w:r>
      <w:r>
        <w:rPr>
          <w:rFonts w:ascii="楷体" w:hAnsi="楷体" w:eastAsia="楷体"/>
          <w:color w:val="auto"/>
          <w:szCs w:val="28"/>
        </w:rPr>
        <w:fldChar w:fldCharType="separate"/>
      </w:r>
      <w:r>
        <w:rPr>
          <w:rFonts w:hint="eastAsia" w:ascii="仿宋" w:hAnsi="仿宋" w:eastAsia="仿宋"/>
          <w:color w:val="auto"/>
          <w:szCs w:val="36"/>
        </w:rPr>
        <w:t>韩国</w:t>
      </w:r>
      <w:r>
        <w:rPr>
          <w:rFonts w:hint="eastAsia" w:ascii="仿宋" w:hAnsi="仿宋" w:eastAsia="仿宋"/>
          <w:color w:val="auto"/>
          <w:szCs w:val="36"/>
          <w:lang w:val="en-US" w:eastAsia="zh-CN"/>
        </w:rPr>
        <w:t>崇实</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33</w:t>
      </w:r>
      <w:r>
        <w:rPr>
          <w:color w:val="auto"/>
        </w:rPr>
        <w:fldChar w:fldCharType="end"/>
      </w:r>
      <w:r>
        <w:rPr>
          <w:rFonts w:ascii="楷体" w:hAnsi="楷体" w:eastAsia="楷体"/>
          <w:color w:val="auto"/>
          <w:szCs w:val="28"/>
        </w:rPr>
        <w:fldChar w:fldCharType="end"/>
      </w:r>
    </w:p>
    <w:p w14:paraId="51370ACD">
      <w:pPr>
        <w:pStyle w:val="11"/>
        <w:tabs>
          <w:tab w:val="right" w:leader="dot" w:pos="8306"/>
        </w:tabs>
        <w:ind w:left="0"/>
        <w:rPr>
          <w:rFonts w:ascii="楷体" w:hAnsi="楷体" w:eastAsia="楷体" w:cs="楷体"/>
          <w:sz w:val="28"/>
          <w:szCs w:val="28"/>
        </w:rPr>
      </w:pPr>
      <w:r>
        <w:rPr>
          <w:rFonts w:ascii="楷体" w:hAnsi="楷体" w:eastAsia="楷体"/>
          <w:szCs w:val="28"/>
        </w:rPr>
        <w:fldChar w:fldCharType="end"/>
      </w:r>
      <w:bookmarkStart w:id="0" w:name="_Toc23179"/>
      <w:r>
        <w:rPr>
          <w:rFonts w:ascii="楷体" w:hAnsi="楷体" w:eastAsia="楷体" w:cs="楷体"/>
          <w:sz w:val="28"/>
          <w:szCs w:val="28"/>
        </w:rPr>
        <w:t xml:space="preserve"> </w:t>
      </w:r>
      <w:r>
        <w:br w:type="page"/>
      </w:r>
      <w:bookmarkEnd w:id="43"/>
    </w:p>
    <w:bookmarkEnd w:id="0"/>
    <w:p w14:paraId="5F280B19">
      <w:pPr>
        <w:pStyle w:val="29"/>
      </w:pPr>
      <w:bookmarkStart w:id="1" w:name="_Toc21941"/>
      <w:bookmarkStart w:id="2" w:name="_Toc14787"/>
      <w:r>
        <w:rPr>
          <w:rFonts w:hint="eastAsia"/>
        </w:rPr>
        <w:t>本科双学位项目</w:t>
      </w:r>
      <w:bookmarkEnd w:id="1"/>
      <w:bookmarkEnd w:id="2"/>
    </w:p>
    <w:p w14:paraId="01A1251B">
      <w:pPr>
        <w:pStyle w:val="4"/>
        <w:jc w:val="center"/>
        <w:rPr>
          <w:rFonts w:ascii="仿宋" w:hAnsi="仿宋" w:eastAsia="仿宋"/>
          <w:sz w:val="36"/>
          <w:szCs w:val="36"/>
        </w:rPr>
      </w:pPr>
      <w:bookmarkStart w:id="3" w:name="_Toc20782"/>
      <w:bookmarkStart w:id="4" w:name="_Toc4254"/>
      <w:r>
        <w:rPr>
          <w:rFonts w:hint="eastAsia" w:ascii="仿宋" w:hAnsi="仿宋" w:eastAsia="仿宋"/>
          <w:sz w:val="36"/>
          <w:szCs w:val="36"/>
        </w:rPr>
        <w:t>法国格勒诺布尔理工大学</w:t>
      </w:r>
      <w:bookmarkEnd w:id="3"/>
      <w:bookmarkEnd w:id="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6AB7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14:paraId="30A87E52">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14:paraId="309EA41D">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法国格勒诺布尔理工大学本科双学位项目</w:t>
            </w:r>
          </w:p>
        </w:tc>
      </w:tr>
      <w:tr w14:paraId="433F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374EAD38">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3C690402">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每学期选派优秀本科生进行交流学习。学习结束后，学生可将相关学分转换回我校。本科前三年在华北电力大学就读，大四学年赴法读书，本科</w:t>
            </w:r>
            <w:r>
              <w:rPr>
                <w:rFonts w:hint="eastAsia" w:ascii="仿宋" w:hAnsi="仿宋" w:eastAsia="仿宋" w:cs="Calibri"/>
                <w:color w:val="000000" w:themeColor="text1"/>
                <w:shd w:val="clear" w:color="auto" w:fill="FFFFFF"/>
                <w14:textFill>
                  <w14:solidFill>
                    <w14:schemeClr w14:val="tx1"/>
                  </w14:solidFill>
                </w14:textFill>
              </w:rPr>
              <w:t>获华北电力大学，法国格勒诺布尔综合理工大学双学位。</w:t>
            </w:r>
          </w:p>
        </w:tc>
      </w:tr>
      <w:tr w14:paraId="035E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1B6B5B5">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48A39BA3">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核科学与工程学院、能源动力与机械工程学院</w:t>
            </w:r>
          </w:p>
        </w:tc>
      </w:tr>
      <w:tr w14:paraId="3541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B9F6E1F">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378C2F9B">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申请时为大三全日制本科生</w:t>
            </w:r>
          </w:p>
        </w:tc>
      </w:tr>
      <w:tr w14:paraId="3FC5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FC22C07">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0C8078BF">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41C0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6E44DE7">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621BA860">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大四1学年</w:t>
            </w:r>
          </w:p>
        </w:tc>
      </w:tr>
      <w:tr w14:paraId="43A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813C66B">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38BD0255">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学费每学年约为10000欧元</w:t>
            </w:r>
          </w:p>
          <w:p w14:paraId="5B698633">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请咨询格勒诺布尔综合理工学院官网http://www.sciencespo-grenoble.fr/</w:t>
            </w:r>
          </w:p>
        </w:tc>
      </w:tr>
      <w:tr w14:paraId="0486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05E2FF99">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2B4D8C89">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5E411133">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04DA746B">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6328D6EA">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14:paraId="6C09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00E4551C">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14:paraId="1622DBCC">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14:paraId="260A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AB4EE52">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4F4044B2">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每年在全球招收近5900名学生，分别就读于，自然科学、电子电器技术、计算机技术、机械工程、生物工程、环境工程、能源工程、材料工程等专业领域；同时该校每年向社会提供1100多名优秀的毕业生，个人年薪平均3万多欧元。</w:t>
            </w:r>
          </w:p>
        </w:tc>
      </w:tr>
      <w:tr w14:paraId="71BF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329A830B">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0A10DFF3">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5F937617">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1A1BEB43">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4CEBBA1A">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4277F0FD">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56C87C8E">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14:paraId="369F7355">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14:paraId="5ABE475A">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14:paraId="1BE497D5"/>
    <w:p w14:paraId="378514CE"/>
    <w:p w14:paraId="0B8B39A9"/>
    <w:p w14:paraId="70732CC3">
      <w:pPr>
        <w:pStyle w:val="4"/>
        <w:jc w:val="center"/>
        <w:outlineLvl w:val="2"/>
        <w:rPr>
          <w:rFonts w:hint="eastAsia" w:ascii="仿宋" w:hAnsi="仿宋" w:eastAsia="仿宋"/>
          <w:sz w:val="36"/>
          <w:szCs w:val="36"/>
        </w:rPr>
      </w:pPr>
      <w:bookmarkStart w:id="5" w:name="_Toc6365"/>
      <w:bookmarkStart w:id="6" w:name="_Toc9208"/>
      <w:r>
        <w:rPr>
          <w:rFonts w:hint="eastAsia" w:ascii="仿宋" w:hAnsi="仿宋" w:eastAsia="仿宋"/>
          <w:sz w:val="36"/>
          <w:szCs w:val="36"/>
        </w:rPr>
        <w:t>英国利兹大学</w:t>
      </w:r>
      <w:bookmarkEnd w:id="5"/>
      <w:bookmarkEnd w:id="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15F9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14:paraId="177C21E8">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14:paraId="5DFB1722">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Calibri"/>
                <w:color w:val="000000" w:themeColor="text1"/>
                <w:shd w:val="clear" w:color="auto" w:fill="FFFFFF"/>
                <w14:textFill>
                  <w14:solidFill>
                    <w14:schemeClr w14:val="tx1"/>
                  </w14:solidFill>
                </w14:textFill>
              </w:rPr>
              <w:t>本科双学位项目</w:t>
            </w:r>
          </w:p>
        </w:tc>
      </w:tr>
      <w:tr w14:paraId="65B2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54BC94E6">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61EE4020">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w:t>
            </w:r>
            <w:r>
              <w:rPr>
                <w:rFonts w:ascii="仿宋" w:hAnsi="仿宋" w:eastAsia="仿宋" w:cs="宋体"/>
                <w:color w:val="000000" w:themeColor="text1"/>
                <w:shd w:val="clear" w:color="auto" w:fill="FFFFFF"/>
                <w14:textFill>
                  <w14:solidFill>
                    <w14:schemeClr w14:val="tx1"/>
                  </w14:solidFill>
                </w14:textFill>
              </w:rPr>
              <w:t>2+2” 双学位项目分为两个学习阶段，学生先在华北电力大学</w:t>
            </w:r>
            <w:r>
              <w:rPr>
                <w:rFonts w:hint="eastAsia" w:ascii="仿宋" w:hAnsi="仿宋" w:eastAsia="仿宋" w:cs="宋体"/>
                <w:color w:val="000000" w:themeColor="text1"/>
                <w:shd w:val="clear" w:color="auto" w:fill="FFFFFF"/>
                <w:lang w:val="en-US" w:eastAsia="zh-CN"/>
                <w14:textFill>
                  <w14:solidFill>
                    <w14:schemeClr w14:val="tx1"/>
                  </w14:solidFill>
                </w14:textFill>
              </w:rPr>
              <w:t>控制与计算机</w:t>
            </w:r>
            <w:r>
              <w:rPr>
                <w:rFonts w:ascii="仿宋" w:hAnsi="仿宋" w:eastAsia="仿宋" w:cs="宋体"/>
                <w:color w:val="000000" w:themeColor="text1"/>
                <w:shd w:val="clear" w:color="auto" w:fill="FFFFFF"/>
                <w14:textFill>
                  <w14:solidFill>
                    <w14:schemeClr w14:val="tx1"/>
                  </w14:solidFill>
                </w14:textFill>
              </w:rPr>
              <w:t>学院进行两年的专业学习，然后赴</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ascii="仿宋" w:hAnsi="仿宋" w:eastAsia="仿宋" w:cs="宋体"/>
                <w:color w:val="000000" w:themeColor="text1"/>
                <w:shd w:val="clear" w:color="auto" w:fill="FFFFFF"/>
                <w14:textFill>
                  <w14:solidFill>
                    <w14:schemeClr w14:val="tx1"/>
                  </w14:solidFill>
                </w14:textFill>
              </w:rPr>
              <w:t>进行两年的专业课学习</w:t>
            </w:r>
            <w:r>
              <w:rPr>
                <w:rFonts w:hint="eastAsia" w:ascii="仿宋" w:hAnsi="仿宋" w:eastAsia="仿宋" w:cs="宋体"/>
                <w:color w:val="000000" w:themeColor="text1"/>
                <w:shd w:val="clear" w:color="auto" w:fill="FFFFFF"/>
                <w14:textFill>
                  <w14:solidFill>
                    <w14:schemeClr w14:val="tx1"/>
                  </w14:solidFill>
                </w14:textFill>
              </w:rPr>
              <w:t>，完成学业后，获得华北电力大学学士学位和</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宋体"/>
                <w:color w:val="000000" w:themeColor="text1"/>
                <w:shd w:val="clear" w:color="auto" w:fill="FFFFFF"/>
                <w14:textFill>
                  <w14:solidFill>
                    <w14:schemeClr w14:val="tx1"/>
                  </w14:solidFill>
                </w14:textFill>
              </w:rPr>
              <w:t>学士学位</w:t>
            </w:r>
            <w:r>
              <w:rPr>
                <w:rFonts w:ascii="仿宋" w:hAnsi="仿宋" w:eastAsia="仿宋" w:cs="宋体"/>
                <w:color w:val="000000" w:themeColor="text1"/>
                <w:shd w:val="clear" w:color="auto" w:fill="FFFFFF"/>
                <w14:textFill>
                  <w14:solidFill>
                    <w14:schemeClr w14:val="tx1"/>
                  </w14:solidFill>
                </w14:textFill>
              </w:rPr>
              <w:t>。</w:t>
            </w:r>
          </w:p>
        </w:tc>
      </w:tr>
      <w:tr w14:paraId="4866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16CDDD3">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398A007A">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测控技术与仪器专业、自动化专业</w:t>
            </w:r>
          </w:p>
        </w:tc>
      </w:tr>
      <w:tr w14:paraId="5FA0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D90227A">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25AE4CBA">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申请时为大二全日制本科生</w:t>
            </w:r>
          </w:p>
        </w:tc>
      </w:tr>
      <w:tr w14:paraId="600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293D4B7">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127C5FF0">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027C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E48A53E">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37CA0C2E">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大三-大四 </w:t>
            </w:r>
            <w:r>
              <w:rPr>
                <w:rFonts w:ascii="仿宋" w:hAnsi="仿宋" w:eastAsia="仿宋" w:cs="宋体"/>
                <w:color w:val="000000" w:themeColor="text1"/>
                <w14:textFill>
                  <w14:solidFill>
                    <w14:schemeClr w14:val="tx1"/>
                  </w14:solidFill>
                </w14:textFill>
              </w:rPr>
              <w:t>2</w:t>
            </w:r>
            <w:r>
              <w:rPr>
                <w:rFonts w:hint="eastAsia" w:ascii="仿宋" w:hAnsi="仿宋" w:eastAsia="仿宋" w:cs="宋体"/>
                <w:color w:val="000000" w:themeColor="text1"/>
                <w14:textFill>
                  <w14:solidFill>
                    <w14:schemeClr w14:val="tx1"/>
                  </w14:solidFill>
                </w14:textFill>
              </w:rPr>
              <w:t>学年</w:t>
            </w:r>
          </w:p>
        </w:tc>
      </w:tr>
      <w:tr w14:paraId="0EE0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05ADFE7">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3C7B804F">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2</w:t>
            </w:r>
            <w:r>
              <w:rPr>
                <w:rFonts w:ascii="仿宋" w:hAnsi="仿宋" w:eastAsia="仿宋"/>
                <w:sz w:val="24"/>
                <w:szCs w:val="24"/>
              </w:rPr>
              <w:t>2750</w:t>
            </w:r>
            <w:r>
              <w:rPr>
                <w:rFonts w:hint="eastAsia" w:ascii="仿宋" w:hAnsi="仿宋" w:eastAsia="仿宋"/>
                <w:sz w:val="24"/>
                <w:szCs w:val="24"/>
              </w:rPr>
              <w:t>磅/年（2</w:t>
            </w:r>
            <w:r>
              <w:rPr>
                <w:rFonts w:ascii="仿宋" w:hAnsi="仿宋" w:eastAsia="仿宋"/>
                <w:sz w:val="24"/>
                <w:szCs w:val="24"/>
              </w:rPr>
              <w:t>019</w:t>
            </w:r>
            <w:r>
              <w:rPr>
                <w:rFonts w:hint="eastAsia" w:ascii="仿宋" w:hAnsi="仿宋" w:eastAsia="仿宋"/>
                <w:sz w:val="24"/>
                <w:szCs w:val="24"/>
              </w:rPr>
              <w:t>年），</w:t>
            </w:r>
            <w:r>
              <w:rPr>
                <w:rFonts w:hint="eastAsia" w:ascii="仿宋" w:hAnsi="仿宋" w:eastAsia="仿宋"/>
                <w:sz w:val="24"/>
                <w:szCs w:val="24"/>
                <w:lang w:val="en-US" w:eastAsia="zh-CN"/>
              </w:rPr>
              <w:t>实际价格以利兹大学官网通知为准，</w:t>
            </w:r>
            <w:r>
              <w:rPr>
                <w:rFonts w:hint="eastAsia" w:ascii="仿宋" w:hAnsi="仿宋" w:eastAsia="仿宋"/>
                <w:sz w:val="24"/>
                <w:szCs w:val="24"/>
              </w:rPr>
              <w:t>按协议会在此基础上减免10%；</w:t>
            </w:r>
          </w:p>
        </w:tc>
      </w:tr>
      <w:tr w14:paraId="1E92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355C301">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3378E04A">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1、热爱祖国，具有较高的思想政治素质；有优良的道德品质和良好的文明行为，遵纪守法</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    </w:t>
            </w:r>
          </w:p>
          <w:p w14:paraId="327FEB3B">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2、学习目的明确，态度端正，勤奋刻苦；善于学习和吸收新知识，有较强的分析问题和解决问题的能力，具有开拓创新精神。</w:t>
            </w:r>
          </w:p>
          <w:p w14:paraId="7325C759">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积极参加体育锻炼和文娱活动，具备健康的体魄、良好的心理素质和卫生习惯，能够完成在</w:t>
            </w:r>
            <w:r>
              <w:rPr>
                <w:rFonts w:hint="eastAsia" w:ascii="仿宋" w:hAnsi="仿宋" w:eastAsia="仿宋" w:cs="宋体"/>
                <w:color w:val="000000" w:themeColor="text1"/>
                <w:sz w:val="24"/>
                <w:lang w:val="en-US" w:eastAsia="zh-CN"/>
                <w14:textFill>
                  <w14:solidFill>
                    <w14:schemeClr w14:val="tx1"/>
                  </w14:solidFill>
                </w14:textFill>
              </w:rPr>
              <w:t>英国</w:t>
            </w:r>
            <w:r>
              <w:rPr>
                <w:rFonts w:ascii="仿宋" w:hAnsi="仿宋" w:eastAsia="仿宋" w:cs="宋体"/>
                <w:color w:val="000000" w:themeColor="text1"/>
                <w:sz w:val="24"/>
                <w14:textFill>
                  <w14:solidFill>
                    <w14:schemeClr w14:val="tx1"/>
                  </w14:solidFill>
                </w14:textFill>
              </w:rPr>
              <w:t xml:space="preserve">两年学习生活，无犯罪记录。    </w:t>
            </w:r>
          </w:p>
          <w:p w14:paraId="0C8F5A8B">
            <w:pPr>
              <w:rPr>
                <w:rFonts w:hint="eastAsia" w:ascii="仿宋" w:hAnsi="仿宋" w:eastAsia="仿宋"/>
                <w:sz w:val="24"/>
                <w:szCs w:val="24"/>
              </w:rPr>
            </w:pPr>
            <w:r>
              <w:rPr>
                <w:rFonts w:ascii="仿宋" w:hAnsi="仿宋" w:eastAsia="仿宋" w:cs="宋体"/>
                <w:color w:val="000000" w:themeColor="text1"/>
                <w:sz w:val="24"/>
                <w14:textFill>
                  <w14:solidFill>
                    <w14:schemeClr w14:val="tx1"/>
                  </w14:solidFill>
                </w14:textFill>
              </w:rPr>
              <w:t>4、</w:t>
            </w:r>
            <w:r>
              <w:rPr>
                <w:rFonts w:hint="eastAsia" w:ascii="仿宋" w:hAnsi="仿宋" w:eastAsia="仿宋"/>
                <w:sz w:val="24"/>
                <w:szCs w:val="24"/>
              </w:rPr>
              <w:t>前三学期专业学分绩（GPA）排名前25%以内。</w:t>
            </w:r>
          </w:p>
          <w:p w14:paraId="4090D060">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6、语言要求</w:t>
            </w:r>
          </w:p>
          <w:p w14:paraId="47E4E2EC">
            <w:pPr>
              <w:ind w:firstLine="480" w:firstLineChars="2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雅思总分</w:t>
            </w:r>
            <w:r>
              <w:rPr>
                <w:rFonts w:hint="eastAsia" w:ascii="仿宋" w:hAnsi="仿宋" w:eastAsia="仿宋" w:cs="宋体"/>
                <w:color w:val="000000" w:themeColor="text1"/>
                <w:sz w:val="24"/>
                <w:lang w:val="en-US" w:eastAsia="zh-CN"/>
                <w14:textFill>
                  <w14:solidFill>
                    <w14:schemeClr w14:val="tx1"/>
                  </w14:solidFill>
                </w14:textFill>
              </w:rPr>
              <w:t>不低于</w:t>
            </w:r>
            <w:r>
              <w:rPr>
                <w:rFonts w:hint="eastAsia" w:ascii="仿宋" w:hAnsi="仿宋" w:eastAsia="仿宋" w:cs="宋体"/>
                <w:color w:val="000000" w:themeColor="text1"/>
                <w:sz w:val="24"/>
                <w14:textFill>
                  <w14:solidFill>
                    <w14:schemeClr w14:val="tx1"/>
                  </w14:solidFill>
                </w14:textFill>
              </w:rPr>
              <w:t>6，写作、阅读、口语和听力的每个单项不低于</w:t>
            </w:r>
            <w:r>
              <w:rPr>
                <w:rFonts w:hint="eastAsia" w:ascii="仿宋" w:hAnsi="仿宋" w:eastAsia="仿宋" w:cs="宋体"/>
                <w:color w:val="000000" w:themeColor="text1"/>
                <w:sz w:val="24"/>
                <w:lang w:val="en-US" w:eastAsia="zh-CN"/>
                <w14:textFill>
                  <w14:solidFill>
                    <w14:schemeClr w14:val="tx1"/>
                  </w14:solidFill>
                </w14:textFill>
              </w:rPr>
              <w:t>5.5</w:t>
            </w:r>
            <w:r>
              <w:rPr>
                <w:rFonts w:hint="eastAsia" w:ascii="仿宋" w:hAnsi="仿宋" w:eastAsia="仿宋" w:cs="宋体"/>
                <w:color w:val="000000" w:themeColor="text1"/>
                <w:sz w:val="24"/>
                <w14:textFill>
                  <w14:solidFill>
                    <w14:schemeClr w14:val="tx1"/>
                  </w14:solidFill>
                </w14:textFill>
              </w:rPr>
              <w:t>分。</w:t>
            </w:r>
            <w:r>
              <w:rPr>
                <w:rFonts w:hint="eastAsia" w:ascii="仿宋" w:hAnsi="仿宋" w:eastAsia="仿宋"/>
                <w:sz w:val="24"/>
                <w:szCs w:val="24"/>
              </w:rPr>
              <w:t>（UL的最低英语语言要求由英国政府的入境签证要求决定，因此可能会有所变化。）</w:t>
            </w:r>
          </w:p>
        </w:tc>
      </w:tr>
      <w:tr w14:paraId="5DD5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40EAC3AC">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14:paraId="3658B6F9">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填写</w:t>
            </w:r>
            <w:r>
              <w:rPr>
                <w:rFonts w:hint="eastAsia" w:ascii="仿宋" w:hAnsi="仿宋" w:eastAsia="仿宋" w:cs="宋体"/>
                <w:color w:val="000000" w:themeColor="text1"/>
                <w:lang w:val="en-US" w:eastAsia="zh-CN"/>
                <w14:textFill>
                  <w14:solidFill>
                    <w14:schemeClr w14:val="tx1"/>
                  </w14:solidFill>
                </w14:textFill>
              </w:rPr>
              <w:t>利兹</w:t>
            </w:r>
            <w:r>
              <w:rPr>
                <w:rFonts w:hint="eastAsia" w:ascii="仿宋" w:hAnsi="仿宋" w:eastAsia="仿宋" w:cs="宋体"/>
                <w:color w:val="000000" w:themeColor="text1"/>
                <w14:textFill>
                  <w14:solidFill>
                    <w14:schemeClr w14:val="tx1"/>
                  </w14:solidFill>
                </w14:textFill>
              </w:rPr>
              <w:t>大学本科双学位项目申请表，综合各方面情况，择优录取</w:t>
            </w:r>
            <w:r>
              <w:rPr>
                <w:rFonts w:hint="eastAsia" w:ascii="仿宋" w:hAnsi="仿宋" w:eastAsia="仿宋" w:cs="宋体"/>
                <w:color w:val="000000" w:themeColor="text1"/>
                <w:shd w:val="clear" w:color="auto" w:fill="FFFFFF"/>
                <w14:textFill>
                  <w14:solidFill>
                    <w14:schemeClr w14:val="tx1"/>
                  </w14:solidFill>
                </w14:textFill>
              </w:rPr>
              <w:t>。</w:t>
            </w:r>
          </w:p>
        </w:tc>
      </w:tr>
      <w:tr w14:paraId="17FB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DAF1477">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02C13204">
            <w:pPr>
              <w:ind w:firstLine="480" w:firstLineChars="200"/>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利兹大学（The University of Leeds）是英国规模第二大的高等学府，英国顶尖的十所研究型大学之一，世界百强名校，英国常春藤联盟罗素大学集团创始成员，英国著名的六所“红砖大学”之一，世界大学联盟成员，白玫瑰大学联盟成员，N8大学联盟成员。</w:t>
            </w:r>
          </w:p>
          <w:p w14:paraId="33255D60">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是英国顶尖综合性大学，在教学、科研与就业等方面享有崇高的国际声誉。在2020年QS世界大学排名中居世界第93位；2019年QS毕业生就业竞争力排名中居世界第53位；2019年卫报英国大学排名中居英国第10位；2014年英国官方每七年发布一次的REF大学排名中居英国第10位；学生满意度排名稳居英国前5位；2017年被TIMES评为英国“年度最佳大学”；2017年被英国政府评为TEF金奖大学。</w:t>
            </w:r>
          </w:p>
          <w:p w14:paraId="351DBA7A">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2020年QS世界大学排名</w:t>
            </w:r>
          </w:p>
          <w:p w14:paraId="6D9C952C">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https://baike.baidu.com/item/2020%E5%B9%B4QS%E4%B8%96%E7%95%8C%E5%A4%A7%E5%AD%A6%E6%8E%92%E5%90%8D/23576784?fr=aladdin</w:t>
            </w:r>
          </w:p>
        </w:tc>
      </w:tr>
      <w:tr w14:paraId="586C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0095B2A5">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6B40F302">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277F7C21">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06BD3F31">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5411DEA8">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5ECD9D49">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36C75C00">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14:paraId="33D3999D">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14:paraId="022B8418">
            <w:pPr>
              <w:rPr>
                <w:rFonts w:hint="default"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14:paraId="71F6BFD8">
      <w:pPr>
        <w:pStyle w:val="29"/>
        <w:jc w:val="cente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bookmarkStart w:id="7" w:name="_Toc19030"/>
      <w:r>
        <w:rPr>
          <w:rFonts w:hint="eastAsia"/>
        </w:rPr>
        <w:t>免学费项目</w:t>
      </w:r>
      <w:bookmarkEnd w:id="7"/>
    </w:p>
    <w:p w14:paraId="270AC549">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8" w:name="_Toc5281"/>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意大利比萨</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3AB5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3EF135AC">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093429C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每学期选派优秀本科生进行交流学习。学习结束后，学生可将相关学分转换回我校</w:t>
            </w:r>
          </w:p>
        </w:tc>
      </w:tr>
      <w:tr w14:paraId="495B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A102766">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6636DCE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72FA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0F8AF8A">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1AA5680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14:paraId="7E8B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238695B">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76B88927">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5人1学期或10人1学年</w:t>
            </w:r>
          </w:p>
        </w:tc>
      </w:tr>
      <w:tr w14:paraId="1AA4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BF3CAD9">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63813F55">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14:paraId="580D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B283F19">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1CAA15FD">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交</w:t>
            </w:r>
            <w:r>
              <w:rPr>
                <w:rFonts w:hint="eastAsia" w:ascii="仿宋" w:hAnsi="仿宋" w:eastAsia="仿宋" w:cs="宋体"/>
                <w:color w:val="000000" w:themeColor="text1"/>
                <w:spacing w:val="8"/>
                <w:shd w:val="clear" w:color="auto" w:fill="FFFFFF"/>
                <w14:textFill>
                  <w14:solidFill>
                    <w14:schemeClr w14:val="tx1"/>
                  </w14:solidFill>
                </w14:textFill>
              </w:rPr>
              <w:t>学费</w:t>
            </w:r>
            <w:r>
              <w:rPr>
                <w:rFonts w:hint="eastAsia" w:ascii="仿宋" w:hAnsi="仿宋" w:eastAsia="仿宋" w:cs="宋体"/>
                <w:color w:val="000000" w:themeColor="text1"/>
                <w:spacing w:val="8"/>
                <w:shd w:val="clear" w:color="auto" w:fill="FFFFFF"/>
                <w:lang w:eastAsia="zh-CN"/>
                <w14:textFill>
                  <w14:solidFill>
                    <w14:schemeClr w14:val="tx1"/>
                  </w14:solidFill>
                </w14:textFill>
              </w:rPr>
              <w:t>，</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需自行支付生活费、交通费、食宿费、书本费</w:t>
            </w:r>
          </w:p>
        </w:tc>
      </w:tr>
      <w:tr w14:paraId="28E4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3B1DB9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49E8D9BC">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14:paraId="0E00B021">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14:paraId="3B0DE27A">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14:paraId="603724DA">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w:t>
            </w:r>
          </w:p>
        </w:tc>
      </w:tr>
      <w:tr w14:paraId="6990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401224C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14:paraId="13A561F5">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14:paraId="75C1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3DE96A8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1907D4F9">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比萨大学，欧洲的著名学府，是一所学术与研究极其出色的大学，在世界上享有盛誉。官方宣称的创建时间为1343年9月3日，但是其历史可上溯到11世纪。比萨大学是大学研究协会(URA)唯一意大利成员;比萨大学是精英化教育体制，拥有比萨高师及比萨圣安娜高等学院，三校师资共享，教学质量有很高保障;并且是欧洲唯一一所进入“大学研究学会”的科研型大学。比萨大学拥有伽利略这样的科学巨匠，且在其著名的毕业生中，有几位国内外政治领袖，包括两位意大利总统，五位教皇，五位意大利总理和三位诺贝尔奖获得者。</w:t>
            </w:r>
          </w:p>
        </w:tc>
      </w:tr>
      <w:tr w14:paraId="53DD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50F8AA6D">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41DAFE39">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76EBEE95">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17865F72">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36D2431C">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7239AF9F">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015F95CE">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3BDB523B">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6EBEFC58">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7A5258FC"/>
    <w:p w14:paraId="43ED230E">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9" w:name="_Toc3210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德国柏林自由大学</w:t>
      </w:r>
      <w:bookmarkEnd w:id="9"/>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14:paraId="1A9A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14:paraId="391A6D12">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14:paraId="762B1C7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选拔优秀本科生赴德国柏林自由大学进行学习，回校后进行学分互认转换。</w:t>
            </w:r>
          </w:p>
        </w:tc>
      </w:tr>
      <w:tr w14:paraId="63D1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396FB70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14:paraId="330EB9DE">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数理</w:t>
            </w:r>
            <w:r>
              <w:rPr>
                <w:rFonts w:hint="eastAsia" w:ascii="仿宋" w:hAnsi="仿宋" w:eastAsia="仿宋" w:cs="宋体"/>
              </w:rPr>
              <w:t>学院</w:t>
            </w:r>
            <w:r>
              <w:rPr>
                <w:rFonts w:ascii="仿宋" w:hAnsi="仿宋" w:eastAsia="仿宋" w:cs="宋体"/>
              </w:rPr>
              <w:t>-</w:t>
            </w:r>
            <w:r>
              <w:rPr>
                <w:rFonts w:hint="eastAsia" w:ascii="仿宋" w:hAnsi="仿宋" w:eastAsia="仿宋" w:cs="宋体"/>
                <w:lang w:eastAsia="zh-Hans"/>
              </w:rPr>
              <w:t>物理专业</w:t>
            </w:r>
          </w:p>
        </w:tc>
      </w:tr>
      <w:tr w14:paraId="27E9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428B89FA">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14:paraId="581BF49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3F35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4D30943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14:paraId="494830C5">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w:t>
            </w:r>
          </w:p>
        </w:tc>
      </w:tr>
      <w:tr w14:paraId="1482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1AA440F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14:paraId="25EA193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14:paraId="29A6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37AEF5A1">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14:paraId="37AE66F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14:paraId="4CA7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14:paraId="406287F9">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14:paraId="39303972">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63192A6B">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17C0DC80">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2EB8E45C">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（4）较强的英语沟通能力（选择德文授课达到欧盟要求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级以上水平，选择英文授课英语需达到欧盟要求</w:t>
            </w:r>
            <w:r>
              <w:rPr>
                <w:rFonts w:ascii="仿宋" w:hAnsi="仿宋" w:eastAsia="仿宋" w:cs="宋体"/>
                <w:color w:val="000000" w:themeColor="text1"/>
                <w:shd w:val="clear" w:color="auto" w:fill="FFFFFF"/>
                <w14:textFill>
                  <w14:solidFill>
                    <w14:schemeClr w14:val="tx1"/>
                  </w14:solidFill>
                </w14:textFill>
              </w:rPr>
              <w:t>B</w:t>
            </w:r>
            <w:r>
              <w:rPr>
                <w:rFonts w:hint="eastAsia" w:ascii="仿宋" w:hAnsi="仿宋" w:eastAsia="仿宋" w:cs="宋体"/>
                <w:color w:val="000000" w:themeColor="text1"/>
                <w:shd w:val="clear" w:color="auto" w:fill="FFFFFF"/>
                <w14:textFill>
                  <w14:solidFill>
                    <w14:schemeClr w14:val="tx1"/>
                  </w14:solidFill>
                </w14:textFill>
              </w:rPr>
              <w:t>1以上水平）</w:t>
            </w:r>
          </w:p>
        </w:tc>
      </w:tr>
      <w:tr w14:paraId="0302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14:paraId="5884055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14:paraId="604E3027">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柏林自由大学（德文：Freie Universit</w:t>
            </w:r>
            <w:r>
              <w:rPr>
                <w:rFonts w:ascii="Calibri" w:hAnsi="Calibri" w:eastAsia="仿宋" w:cs="Calibri"/>
                <w:color w:val="000000" w:themeColor="text1"/>
                <w14:textFill>
                  <w14:solidFill>
                    <w14:schemeClr w14:val="tx1"/>
                  </w14:solidFill>
                </w14:textFill>
              </w:rPr>
              <w:t>ä</w:t>
            </w:r>
            <w:r>
              <w:rPr>
                <w:rFonts w:hint="eastAsia" w:ascii="仿宋" w:hAnsi="仿宋" w:eastAsia="仿宋" w:cs="宋体"/>
                <w:color w:val="000000" w:themeColor="text1"/>
                <w14:textFill>
                  <w14:solidFill>
                    <w14:schemeClr w14:val="tx1"/>
                  </w14:solidFill>
                </w14:textFill>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14:paraId="1A51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980" w:type="dxa"/>
            <w:tcBorders>
              <w:top w:val="single" w:color="auto" w:sz="4" w:space="0"/>
              <w:left w:val="single" w:color="auto" w:sz="4" w:space="0"/>
              <w:bottom w:val="single" w:color="auto" w:sz="4" w:space="0"/>
              <w:right w:val="single" w:color="auto" w:sz="4" w:space="0"/>
            </w:tcBorders>
            <w:vAlign w:val="center"/>
          </w:tcPr>
          <w:p w14:paraId="3986D03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14:paraId="678132EE">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15881A24">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0D37B03C">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05811645">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44B2F3B9">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424E4AF8">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3E683411">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53C5B3EB">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3CA18417">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5AF04088">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26C178CB">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782B8F33">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0" w:name="_Toc23380"/>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德国勃兰登堡工业大学</w:t>
      </w:r>
      <w:bookmarkEnd w:id="10"/>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14:paraId="7D24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14:paraId="5E23DCA3">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14:paraId="772AB90C">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选拔优秀本科生赴勃兰登堡工业大学进行学习，学习为期一年，其中成绩优异的同学可继续攻读硕士。</w:t>
            </w:r>
          </w:p>
        </w:tc>
      </w:tr>
      <w:tr w14:paraId="66CE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6624816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14:paraId="4668D3E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w:t>
            </w:r>
            <w:r>
              <w:rPr>
                <w:rFonts w:ascii="仿宋" w:hAnsi="仿宋" w:eastAsia="仿宋" w:cs="宋体"/>
                <w:color w:val="000000" w:themeColor="text1"/>
                <w14:textFill>
                  <w14:solidFill>
                    <w14:schemeClr w14:val="tx1"/>
                  </w14:solidFill>
                </w14:textFill>
              </w:rPr>
              <w:t>能源与动力工程学院</w:t>
            </w:r>
          </w:p>
        </w:tc>
      </w:tr>
      <w:tr w14:paraId="2386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021E624B">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14:paraId="61F0B9D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申请时为大三全日制在读本科生</w:t>
            </w:r>
          </w:p>
        </w:tc>
      </w:tr>
      <w:tr w14:paraId="3647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334171C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14:paraId="378491A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2F32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1DCF5403">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14:paraId="2234CF8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p w14:paraId="46FE157A">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成绩优异</w:t>
            </w:r>
            <w:r>
              <w:rPr>
                <w:rFonts w:ascii="仿宋" w:hAnsi="仿宋" w:eastAsia="仿宋" w:cs="宋体"/>
                <w:color w:val="000000" w:themeColor="text1"/>
                <w14:textFill>
                  <w14:solidFill>
                    <w14:schemeClr w14:val="tx1"/>
                  </w14:solidFill>
                </w14:textFill>
              </w:rPr>
              <w:t>同学可选择</w:t>
            </w:r>
            <w:r>
              <w:rPr>
                <w:rFonts w:hint="eastAsia" w:ascii="仿宋" w:hAnsi="仿宋" w:eastAsia="仿宋" w:cs="宋体"/>
                <w:color w:val="000000" w:themeColor="text1"/>
                <w14:textFill>
                  <w14:solidFill>
                    <w14:schemeClr w14:val="tx1"/>
                  </w14:solidFill>
                </w14:textFill>
              </w:rPr>
              <w:t>交换后“3</w:t>
            </w:r>
            <w:r>
              <w:rPr>
                <w:rFonts w:ascii="仿宋" w:hAnsi="仿宋" w:eastAsia="仿宋" w:cs="宋体"/>
                <w:color w:val="000000" w:themeColor="text1"/>
                <w14:textFill>
                  <w14:solidFill>
                    <w14:schemeClr w14:val="tx1"/>
                  </w14:solidFill>
                </w14:textFill>
              </w:rPr>
              <w:t>+1+1</w:t>
            </w:r>
            <w:r>
              <w:rPr>
                <w:rFonts w:hint="eastAsia" w:ascii="仿宋" w:hAnsi="仿宋" w:eastAsia="仿宋" w:cs="宋体"/>
                <w:color w:val="000000" w:themeColor="text1"/>
                <w14:textFill>
                  <w14:solidFill>
                    <w14:schemeClr w14:val="tx1"/>
                  </w14:solidFill>
                </w14:textFill>
              </w:rPr>
              <w:t>”</w:t>
            </w:r>
            <w:r>
              <w:rPr>
                <w:rFonts w:ascii="仿宋" w:hAnsi="仿宋" w:eastAsia="仿宋" w:cs="宋体"/>
                <w:color w:val="000000" w:themeColor="text1"/>
                <w14:textFill>
                  <w14:solidFill>
                    <w14:schemeClr w14:val="tx1"/>
                  </w14:solidFill>
                </w14:textFill>
              </w:rPr>
              <w:t>留德继续攻读硕士</w:t>
            </w:r>
          </w:p>
        </w:tc>
      </w:tr>
      <w:tr w14:paraId="4509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4958D07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14:paraId="1025A94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免学费、交注册费</w:t>
            </w:r>
            <w:r>
              <w:rPr>
                <w:rFonts w:hint="eastAsia" w:ascii="仿宋" w:hAnsi="仿宋" w:eastAsia="仿宋" w:cs="宋体"/>
                <w:color w:val="000000" w:themeColor="text1"/>
                <w:lang w:val="en-US" w:eastAsia="zh-CN"/>
                <w14:textFill>
                  <w14:solidFill>
                    <w14:schemeClr w14:val="tx1"/>
                  </w14:solidFill>
                </w14:textFill>
              </w:rPr>
              <w:t>约</w:t>
            </w:r>
            <w:r>
              <w:rPr>
                <w:rFonts w:hint="eastAsia" w:ascii="仿宋" w:hAnsi="仿宋" w:eastAsia="仿宋" w:cs="宋体"/>
                <w:color w:val="000000" w:themeColor="text1"/>
                <w14:textFill>
                  <w14:solidFill>
                    <w14:schemeClr w14:val="tx1"/>
                  </w14:solidFill>
                </w14:textFill>
              </w:rPr>
              <w:t>270欧元/学期，其他费用由学生自理</w:t>
            </w:r>
          </w:p>
        </w:tc>
      </w:tr>
      <w:tr w14:paraId="74FB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14:paraId="5DE6AC1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14:paraId="193F32A1">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5CF262EF">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39571CD7">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33E0308A">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（4）较强的英语沟通能力（雅思不低于6，托福不低于79或通过对方面试）；</w:t>
            </w:r>
          </w:p>
          <w:p w14:paraId="0C5BCA99">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（5）需通过德国学校教师的AP</w:t>
            </w:r>
            <w:r>
              <w:rPr>
                <w:rFonts w:ascii="仿宋" w:hAnsi="仿宋" w:eastAsia="仿宋" w:cs="宋体"/>
                <w:color w:val="000000" w:themeColor="text1"/>
                <w:shd w:val="clear" w:color="auto" w:fill="FFFFFF"/>
                <w14:textFill>
                  <w14:solidFill>
                    <w14:schemeClr w14:val="tx1"/>
                  </w14:solidFill>
                </w14:textFill>
              </w:rPr>
              <w:t>S</w:t>
            </w:r>
            <w:r>
              <w:rPr>
                <w:rFonts w:hint="eastAsia" w:ascii="仿宋" w:hAnsi="仿宋" w:eastAsia="仿宋" w:cs="宋体"/>
                <w:color w:val="000000" w:themeColor="text1"/>
                <w:shd w:val="clear" w:color="auto" w:fill="FFFFFF"/>
                <w14:textFill>
                  <w14:solidFill>
                    <w14:schemeClr w14:val="tx1"/>
                  </w14:solidFill>
                </w14:textFill>
              </w:rPr>
              <w:t>考试（英语语言考试和申请材料审核）</w:t>
            </w:r>
            <w:r>
              <w:rPr>
                <w:rFonts w:ascii="仿宋" w:hAnsi="仿宋" w:eastAsia="仿宋" w:cs="宋体"/>
                <w:color w:val="000000" w:themeColor="text1"/>
                <w:shd w:val="clear" w:color="auto" w:fill="FFFFFF"/>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我校为报名成功的同学集中组织面试。</w:t>
            </w:r>
          </w:p>
        </w:tc>
      </w:tr>
      <w:tr w14:paraId="0674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14:paraId="78B66CD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14:paraId="29B1D4B5">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勃兰登堡工业大学（简称BTU)是位于德国境内</w:t>
            </w:r>
            <w:r>
              <w:fldChar w:fldCharType="begin"/>
            </w:r>
            <w:r>
              <w:instrText xml:space="preserve"> HYPERLINK "https://baike.baidu.com/item/%E5%8B%83%E5%85%B0%E7%99%BB%E5%A0%A1%E5%B7%9E/5446866" \t "_blank" </w:instrText>
            </w:r>
            <w:r>
              <w:fldChar w:fldCharType="separate"/>
            </w:r>
            <w:r>
              <w:rPr>
                <w:rStyle w:val="35"/>
                <w:rFonts w:hint="eastAsia" w:ascii="仿宋" w:hAnsi="仿宋" w:eastAsia="仿宋" w:cs="宋体"/>
                <w:color w:val="000000" w:themeColor="text1"/>
                <w14:textFill>
                  <w14:solidFill>
                    <w14:schemeClr w14:val="tx1"/>
                  </w14:solidFill>
                </w14:textFill>
              </w:rPr>
              <w:t>勃兰登堡州</w:t>
            </w:r>
            <w:r>
              <w:rPr>
                <w:rStyle w:val="35"/>
                <w:rFonts w:hint="eastAsia" w:ascii="仿宋" w:hAnsi="仿宋" w:eastAsia="仿宋" w:cs="宋体"/>
                <w:color w:val="000000" w:themeColor="text1"/>
                <w14:textFill>
                  <w14:solidFill>
                    <w14:schemeClr w14:val="tx1"/>
                  </w14:solidFill>
                </w14:textFill>
              </w:rPr>
              <w:fldChar w:fldCharType="end"/>
            </w:r>
            <w:r>
              <w:fldChar w:fldCharType="begin"/>
            </w:r>
            <w:r>
              <w:instrText xml:space="preserve"> HYPERLINK "https://baike.baidu.com/item/%E7%A7%91%E7%89%B9%E5%B8%83%E6%96%AF%E5%B8%82/3720776" \t "_blank" </w:instrText>
            </w:r>
            <w:r>
              <w:fldChar w:fldCharType="separate"/>
            </w:r>
            <w:r>
              <w:rPr>
                <w:rStyle w:val="35"/>
                <w:rFonts w:hint="eastAsia" w:ascii="仿宋" w:hAnsi="仿宋" w:eastAsia="仿宋" w:cs="宋体"/>
                <w:color w:val="000000" w:themeColor="text1"/>
                <w14:textFill>
                  <w14:solidFill>
                    <w14:schemeClr w14:val="tx1"/>
                  </w14:solidFill>
                </w14:textFill>
              </w:rPr>
              <w:t>科特布斯市</w:t>
            </w:r>
            <w:r>
              <w:rPr>
                <w:rStyle w:val="35"/>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14:paraId="563B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14:paraId="076F2E9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14:paraId="4F0C16E0">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64FE372E">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76D54924">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0CDAEAD5">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40E4DDDD">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34F17D72">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23D240DF">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76EE8019">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p w14:paraId="5541B736">
            <w:pPr>
              <w:rPr>
                <w:rFonts w:hint="eastAsia" w:ascii="仿宋" w:hAnsi="仿宋" w:eastAsia="仿宋" w:cs="宋体"/>
                <w:color w:val="000000" w:themeColor="text1"/>
                <w:sz w:val="24"/>
                <w:lang w:eastAsia="zh-CN"/>
                <w14:textFill>
                  <w14:solidFill>
                    <w14:schemeClr w14:val="tx1"/>
                  </w14:solidFill>
                </w14:textFill>
              </w:rPr>
            </w:pPr>
          </w:p>
        </w:tc>
      </w:tr>
    </w:tbl>
    <w:p w14:paraId="21563B88">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28E09468">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11" w:name="_Toc24344"/>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巴西坎皮纳斯大学</w:t>
      </w:r>
      <w:bookmarkEnd w:id="11"/>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14:paraId="00CF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14:paraId="7617964E">
            <w:pPr>
              <w:pStyle w:val="27"/>
              <w:widowControl/>
              <w:rPr>
                <w:rFonts w:ascii="仿宋" w:hAnsi="仿宋" w:eastAsia="仿宋" w:cs="宋体"/>
                <w:b/>
                <w:color w:val="00B0F0"/>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14:paraId="091FE576">
            <w:pPr>
              <w:pStyle w:val="27"/>
              <w:widowControl/>
              <w:rPr>
                <w:rFonts w:ascii="仿宋" w:hAnsi="仿宋" w:eastAsia="仿宋" w:cs="宋体"/>
                <w:color w:val="00B0F0"/>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14:paraId="1898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34F9736F">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14:paraId="633EB575">
            <w:pPr>
              <w:pStyle w:val="27"/>
              <w:widowControl/>
              <w:rPr>
                <w:rFonts w:hint="default" w:ascii="仿宋" w:hAnsi="仿宋" w:eastAsia="宋体" w:cs="宋体"/>
                <w:color w:val="000000" w:themeColor="text1"/>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计算机科学、物理、数学、环境工程</w:t>
            </w:r>
            <w:r>
              <w:rPr>
                <w:rFonts w:hint="eastAsia" w:ascii="仿宋" w:hAnsi="仿宋" w:eastAsia="仿宋" w:cs="宋体"/>
                <w:color w:val="000000" w:themeColor="text1"/>
                <w:shd w:val="clear" w:color="auto" w:fill="FFFFFF"/>
                <w:lang w:eastAsia="zh-CN"/>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电信工程、控制与自动化工程、电气工程、机械工程、化学工程、行政管理、公共管理</w:t>
            </w:r>
            <w:r>
              <w:rPr>
                <w:rFonts w:hint="eastAsia" w:ascii="仿宋" w:hAnsi="仿宋" w:eastAsia="仿宋" w:cs="宋体"/>
                <w:color w:val="000000" w:themeColor="text1"/>
                <w:shd w:val="clear" w:color="auto" w:fill="FFFFFF"/>
                <w:lang w:val="en-US" w:eastAsia="zh-CN"/>
                <w14:textFill>
                  <w14:solidFill>
                    <w14:schemeClr w14:val="tx1"/>
                  </w14:solidFill>
                </w14:textFill>
              </w:rPr>
              <w:t>等相关专业</w:t>
            </w:r>
          </w:p>
        </w:tc>
      </w:tr>
      <w:tr w14:paraId="1481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0AE5948A">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14:paraId="76B68081">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0E39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6F889B0C">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14:paraId="25E98135">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10人</w:t>
            </w:r>
          </w:p>
        </w:tc>
      </w:tr>
      <w:tr w14:paraId="49A0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3E28C0DA">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14:paraId="3137345D">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w:t>
            </w:r>
            <w:r>
              <w:rPr>
                <w:rFonts w:hint="eastAsia" w:ascii="仿宋" w:hAnsi="仿宋" w:eastAsia="仿宋" w:cs="宋体"/>
                <w:color w:val="000000" w:themeColor="text1"/>
                <w:lang w:eastAsia="zh-Hans"/>
                <w14:textFill>
                  <w14:solidFill>
                    <w14:schemeClr w14:val="tx1"/>
                  </w14:solidFill>
                </w14:textFill>
              </w:rPr>
              <w:t>期</w:t>
            </w:r>
          </w:p>
        </w:tc>
      </w:tr>
      <w:tr w14:paraId="3352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56DD9AFD">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14:paraId="72C2532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14:paraId="7C16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14:paraId="1065BAEC">
            <w:pPr>
              <w:pStyle w:val="27"/>
              <w:widowControl/>
              <w:rPr>
                <w:rFonts w:ascii="仿宋" w:hAnsi="仿宋" w:eastAsia="仿宋" w:cs="宋体"/>
                <w:b/>
                <w:color w:val="00B0F0"/>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14:paraId="294DF765">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512AB9F7">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2.</w:t>
            </w:r>
            <w:r>
              <w:rPr>
                <w:rFonts w:hint="eastAsia" w:ascii="仿宋" w:hAnsi="仿宋" w:eastAsia="仿宋" w:cs="宋体"/>
                <w:color w:val="000000" w:themeColor="text1"/>
                <w:shd w:val="clear" w:color="auto" w:fill="FFFFFF"/>
                <w14:textFill>
                  <w14:solidFill>
                    <w14:schemeClr w14:val="tx1"/>
                  </w14:solidFill>
                </w14:textFill>
              </w:rPr>
              <w:t>身心健康，无不适合在外学习的疾病史；</w:t>
            </w:r>
          </w:p>
          <w:p w14:paraId="5C19FCF5">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3.</w:t>
            </w:r>
            <w:r>
              <w:rPr>
                <w:rFonts w:hint="eastAsia" w:ascii="仿宋" w:hAnsi="仿宋" w:eastAsia="仿宋" w:cs="宋体"/>
                <w:color w:val="000000" w:themeColor="text1"/>
                <w:shd w:val="clear" w:color="auto" w:fill="FFFFFF"/>
                <w14:textFill>
                  <w14:solidFill>
                    <w14:schemeClr w14:val="tx1"/>
                  </w14:solidFill>
                </w14:textFill>
              </w:rPr>
              <w:t>品学兼优，学习成绩排名前列，综合表现突出，GPA不低于3.0；</w:t>
            </w:r>
          </w:p>
          <w:p w14:paraId="10A056CC">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4.</w:t>
            </w:r>
            <w:r>
              <w:rPr>
                <w:rFonts w:hint="eastAsia" w:ascii="仿宋" w:hAnsi="仿宋" w:eastAsia="仿宋" w:cs="宋体"/>
                <w:color w:val="000000" w:themeColor="text1"/>
                <w:shd w:val="clear" w:color="auto" w:fill="FFFFFF"/>
                <w14:textFill>
                  <w14:solidFill>
                    <w14:schemeClr w14:val="tx1"/>
                  </w14:solidFill>
                </w14:textFill>
              </w:rPr>
              <w:t>有英语、西班牙语及葡萄牙语语言成绩者优先。</w:t>
            </w:r>
          </w:p>
          <w:p w14:paraId="27F39C18">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课程在三个不同城市的四个不同校区开设（建议学生只在一个城市上课）</w:t>
            </w:r>
          </w:p>
        </w:tc>
      </w:tr>
      <w:tr w14:paraId="22D1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14:paraId="7BF14441">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14:paraId="67D72CF6">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坎皮纳斯大学创建于1966年，是拉丁美洲最好的大学之一。其在传统教育和科研方面为巴西社会做出了巨大贡献，在工程技术、健康科学、自然科学、人文科学和艺术领域都十分出众。该校本科生和研究生的比例各占</w:t>
            </w:r>
            <w:r>
              <w:rPr>
                <w:rFonts w:hint="default" w:ascii="仿宋" w:hAnsi="仿宋" w:eastAsia="仿宋" w:cs="宋体"/>
                <w:color w:val="000000" w:themeColor="text1"/>
                <w:shd w:val="clear" w:color="auto" w:fill="FFFFFF"/>
                <w14:textFill>
                  <w14:solidFill>
                    <w14:schemeClr w14:val="tx1"/>
                  </w14:solidFill>
                </w14:textFill>
              </w:rPr>
              <w:t>50%</w:t>
            </w:r>
            <w:r>
              <w:rPr>
                <w:rFonts w:hint="eastAsia" w:ascii="仿宋" w:hAnsi="仿宋" w:eastAsia="仿宋" w:cs="宋体"/>
                <w:color w:val="000000" w:themeColor="text1"/>
                <w:shd w:val="clear" w:color="auto" w:fill="FFFFFF"/>
                <w14:textFill>
                  <w14:solidFill>
                    <w14:schemeClr w14:val="tx1"/>
                  </w14:solidFill>
                </w14:textFill>
              </w:rPr>
              <w:t>，均约</w:t>
            </w:r>
            <w:r>
              <w:rPr>
                <w:rFonts w:hint="default" w:ascii="仿宋" w:hAnsi="仿宋" w:eastAsia="仿宋" w:cs="宋体"/>
                <w:color w:val="000000" w:themeColor="text1"/>
                <w:shd w:val="clear" w:color="auto" w:fill="FFFFFF"/>
                <w14:textFill>
                  <w14:solidFill>
                    <w14:schemeClr w14:val="tx1"/>
                  </w14:solidFill>
                </w14:textFill>
              </w:rPr>
              <w:t>1</w:t>
            </w:r>
            <w:r>
              <w:rPr>
                <w:rFonts w:hint="eastAsia" w:ascii="仿宋" w:hAnsi="仿宋" w:eastAsia="仿宋" w:cs="宋体"/>
                <w:color w:val="000000" w:themeColor="text1"/>
                <w:shd w:val="clear" w:color="auto" w:fill="FFFFFF"/>
                <w14:textFill>
                  <w14:solidFill>
                    <w14:schemeClr w14:val="tx1"/>
                  </w14:solidFill>
                </w14:textFill>
              </w:rPr>
              <w:t>万余名，是全巴西研究生比例最高的一所学校。坎皮纳斯大学负责巴西约</w:t>
            </w:r>
            <w:r>
              <w:rPr>
                <w:rFonts w:hint="default" w:ascii="仿宋" w:hAnsi="仿宋" w:eastAsia="仿宋" w:cs="宋体"/>
                <w:color w:val="000000" w:themeColor="text1"/>
                <w:shd w:val="clear" w:color="auto" w:fill="FFFFFF"/>
                <w14:textFill>
                  <w14:solidFill>
                    <w14:schemeClr w14:val="tx1"/>
                  </w14:solidFill>
                </w14:textFill>
              </w:rPr>
              <w:t>15%</w:t>
            </w:r>
            <w:r>
              <w:rPr>
                <w:rFonts w:hint="eastAsia" w:ascii="仿宋" w:hAnsi="仿宋" w:eastAsia="仿宋" w:cs="宋体"/>
                <w:color w:val="000000" w:themeColor="text1"/>
                <w:shd w:val="clear" w:color="auto" w:fill="FFFFFF"/>
                <w14:textFill>
                  <w14:solidFill>
                    <w14:schemeClr w14:val="tx1"/>
                  </w14:solidFill>
                </w14:textFill>
              </w:rPr>
              <w:t>的研究，产出了比巴西其他研究机构都多的专利，仅次于巴西国家石油公司。</w:t>
            </w:r>
          </w:p>
        </w:tc>
      </w:tr>
      <w:tr w14:paraId="5426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Borders>
              <w:top w:val="single" w:color="auto" w:sz="4" w:space="0"/>
              <w:left w:val="single" w:color="auto" w:sz="4" w:space="0"/>
              <w:bottom w:val="single" w:color="auto" w:sz="4" w:space="0"/>
              <w:right w:val="single" w:color="auto" w:sz="4" w:space="0"/>
            </w:tcBorders>
            <w:vAlign w:val="center"/>
          </w:tcPr>
          <w:p w14:paraId="79A7C449">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14:paraId="714C54AC">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5475AF29">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6DEC0952">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1C451DCA">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714B2B33">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30924E10">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6CC8DF59">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3354BCAB">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p w14:paraId="3E6FC1B3">
            <w:pPr>
              <w:rPr>
                <w:rFonts w:hint="eastAsia" w:ascii="仿宋" w:hAnsi="仿宋" w:eastAsia="仿宋" w:cs="宋体"/>
                <w:color w:val="000000" w:themeColor="text1"/>
                <w:sz w:val="24"/>
                <w:lang w:eastAsia="zh-CN"/>
                <w14:textFill>
                  <w14:solidFill>
                    <w14:schemeClr w14:val="tx1"/>
                  </w14:solidFill>
                </w14:textFill>
              </w:rPr>
            </w:pPr>
          </w:p>
        </w:tc>
      </w:tr>
    </w:tbl>
    <w:p w14:paraId="7B448F23">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14:paraId="2ED18DCD">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45EAA34B">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2" w:name="_Toc12912"/>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西班牙马德里理工大学</w:t>
      </w:r>
      <w:bookmarkEnd w:id="1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1251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985" w:type="dxa"/>
          </w:tcPr>
          <w:p w14:paraId="40E57BCF">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7F3CC03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14:paraId="198C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DD2FB77">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4DCF896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能源动力与机械工程学院</w:t>
            </w:r>
          </w:p>
        </w:tc>
      </w:tr>
      <w:tr w14:paraId="5E67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A95D9FB">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383C3F6E">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4097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5C0CA1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377741D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14:paraId="2C27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2E9419B">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33E96AD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tc>
      </w:tr>
      <w:tr w14:paraId="4AB1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CC6E09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381D5B6A">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14:paraId="2313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1AA9A91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684A431E">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4912AEC6">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18A3A1C5">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3ED02905">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14:paraId="1FFE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4F5731C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705F871A">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14:paraId="36C3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758CE83E">
            <w:pPr>
              <w:pStyle w:val="27"/>
              <w:widowControl/>
              <w:rPr>
                <w:rFonts w:ascii="仿宋" w:hAnsi="仿宋" w:eastAsia="仿宋" w:cs="宋体"/>
                <w:b/>
              </w:rPr>
            </w:pPr>
            <w:r>
              <w:rPr>
                <w:rFonts w:hint="eastAsia" w:ascii="仿宋" w:hAnsi="仿宋" w:eastAsia="仿宋" w:cs="宋体"/>
                <w:b/>
              </w:rPr>
              <w:t>报名咨询方式</w:t>
            </w:r>
          </w:p>
        </w:tc>
        <w:tc>
          <w:tcPr>
            <w:tcW w:w="6515" w:type="dxa"/>
            <w:vAlign w:val="center"/>
          </w:tcPr>
          <w:p w14:paraId="27EE4FC8">
            <w:pPr>
              <w:rPr>
                <w:rFonts w:ascii="仿宋" w:hAnsi="仿宋" w:eastAsia="仿宋" w:cs="宋体"/>
                <w:sz w:val="24"/>
              </w:rPr>
            </w:pPr>
            <w:r>
              <w:rPr>
                <w:rFonts w:hint="eastAsia" w:ascii="仿宋" w:hAnsi="仿宋" w:eastAsia="仿宋" w:cs="宋体"/>
                <w:sz w:val="24"/>
              </w:rPr>
              <w:t>北京校部</w:t>
            </w:r>
          </w:p>
          <w:p w14:paraId="737C85AC">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14:paraId="4684A758">
            <w:pPr>
              <w:rPr>
                <w:rFonts w:hint="eastAsia" w:ascii="仿宋" w:hAnsi="仿宋" w:eastAsia="仿宋" w:cs="宋体"/>
                <w:sz w:val="24"/>
                <w:lang w:eastAsia="zh-CN"/>
              </w:rPr>
            </w:pPr>
            <w:r>
              <w:rPr>
                <w:rFonts w:hint="eastAsia" w:ascii="仿宋" w:hAnsi="仿宋" w:eastAsia="仿宋" w:cs="宋体"/>
                <w:sz w:val="24"/>
              </w:rPr>
              <w:t>电话：010-6177</w:t>
            </w:r>
            <w:r>
              <w:rPr>
                <w:rFonts w:hint="eastAsia" w:ascii="仿宋" w:hAnsi="仿宋" w:eastAsia="仿宋" w:cs="宋体"/>
                <w:sz w:val="24"/>
                <w:lang w:eastAsia="zh-CN"/>
              </w:rPr>
              <w:t>2342</w:t>
            </w:r>
          </w:p>
          <w:p w14:paraId="6A7EE09E">
            <w:pPr>
              <w:rPr>
                <w:rFonts w:ascii="仿宋" w:hAnsi="仿宋" w:eastAsia="仿宋" w:cs="宋体"/>
                <w:sz w:val="24"/>
              </w:rPr>
            </w:pPr>
            <w:r>
              <w:rPr>
                <w:rFonts w:hint="eastAsia" w:ascii="仿宋" w:hAnsi="仿宋" w:eastAsia="仿宋" w:cs="宋体"/>
                <w:sz w:val="24"/>
              </w:rPr>
              <w:t>地点：主D837</w:t>
            </w:r>
          </w:p>
          <w:p w14:paraId="0249AF15">
            <w:pPr>
              <w:rPr>
                <w:rFonts w:ascii="仿宋" w:hAnsi="仿宋" w:eastAsia="仿宋" w:cs="宋体"/>
                <w:sz w:val="24"/>
              </w:rPr>
            </w:pPr>
            <w:r>
              <w:rPr>
                <w:rFonts w:hint="eastAsia" w:ascii="仿宋" w:hAnsi="仿宋" w:eastAsia="仿宋" w:cs="宋体"/>
                <w:sz w:val="24"/>
              </w:rPr>
              <w:t>保定校区</w:t>
            </w:r>
          </w:p>
          <w:p w14:paraId="09286617">
            <w:pPr>
              <w:rPr>
                <w:rFonts w:hint="eastAsia" w:ascii="仿宋" w:hAnsi="仿宋" w:eastAsia="仿宋" w:cs="宋体"/>
                <w:sz w:val="24"/>
                <w:lang w:eastAsia="zh-CN"/>
              </w:rPr>
            </w:pPr>
            <w:r>
              <w:rPr>
                <w:rFonts w:hint="eastAsia" w:ascii="仿宋" w:hAnsi="仿宋" w:eastAsia="仿宋" w:cs="宋体"/>
                <w:sz w:val="24"/>
              </w:rPr>
              <w:t>联系人：</w:t>
            </w:r>
            <w:r>
              <w:rPr>
                <w:rFonts w:hint="eastAsia" w:ascii="仿宋" w:hAnsi="仿宋" w:eastAsia="仿宋" w:cs="宋体"/>
                <w:sz w:val="24"/>
                <w:lang w:eastAsia="zh-CN"/>
              </w:rPr>
              <w:t>赵乔</w:t>
            </w:r>
          </w:p>
          <w:p w14:paraId="6AC797FD">
            <w:pPr>
              <w:rPr>
                <w:rFonts w:hint="eastAsia" w:ascii="仿宋" w:hAnsi="仿宋" w:eastAsia="仿宋" w:cs="宋体"/>
                <w:sz w:val="24"/>
                <w:lang w:eastAsia="zh-CN"/>
              </w:rPr>
            </w:pPr>
            <w:r>
              <w:rPr>
                <w:rFonts w:hint="eastAsia" w:ascii="仿宋" w:hAnsi="仿宋" w:eastAsia="仿宋" w:cs="宋体"/>
                <w:sz w:val="24"/>
              </w:rPr>
              <w:t>电话：</w:t>
            </w:r>
            <w:r>
              <w:rPr>
                <w:rFonts w:hint="eastAsia" w:ascii="仿宋" w:hAnsi="仿宋" w:eastAsia="仿宋" w:cs="宋体"/>
                <w:sz w:val="24"/>
                <w:lang w:eastAsia="zh-CN"/>
              </w:rPr>
              <w:t>0312-7522348</w:t>
            </w:r>
          </w:p>
          <w:p w14:paraId="4BF3FD11">
            <w:pPr>
              <w:rPr>
                <w:rFonts w:hint="eastAsia" w:ascii="仿宋" w:hAnsi="仿宋" w:eastAsia="仿宋" w:cs="宋体"/>
                <w:sz w:val="24"/>
                <w:lang w:eastAsia="zh-CN"/>
              </w:rPr>
            </w:pPr>
            <w:r>
              <w:rPr>
                <w:rFonts w:hint="eastAsia" w:ascii="仿宋" w:hAnsi="仿宋" w:eastAsia="仿宋" w:cs="宋体"/>
                <w:sz w:val="24"/>
              </w:rPr>
              <w:t>地址：</w:t>
            </w:r>
            <w:r>
              <w:rPr>
                <w:rFonts w:hint="eastAsia" w:ascii="仿宋" w:hAnsi="仿宋" w:eastAsia="仿宋" w:cs="宋体"/>
                <w:sz w:val="24"/>
                <w:lang w:eastAsia="zh-CN"/>
              </w:rPr>
              <w:t>综合楼710</w:t>
            </w:r>
          </w:p>
        </w:tc>
      </w:tr>
    </w:tbl>
    <w:p w14:paraId="3F2F31FD">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14:paraId="55A67DA3">
      <w:pPr>
        <w:pStyle w:val="4"/>
        <w:jc w:val="center"/>
        <w:rPr>
          <w:rFonts w:hint="eastAsia" w:ascii="仿宋" w:hAnsi="仿宋" w:eastAsia="仿宋"/>
          <w:color w:val="404040" w:themeColor="text1" w:themeTint="BF"/>
          <w:sz w:val="36"/>
          <w:szCs w:val="36"/>
          <w:lang w:eastAsia="zh-CN"/>
          <w14:textFill>
            <w14:solidFill>
              <w14:schemeClr w14:val="tx1">
                <w14:lumMod w14:val="75000"/>
                <w14:lumOff w14:val="25000"/>
              </w14:schemeClr>
            </w14:solidFill>
          </w14:textFill>
        </w:rPr>
      </w:pPr>
    </w:p>
    <w:p w14:paraId="561A6E42">
      <w:pPr>
        <w:pStyle w:val="4"/>
        <w:jc w:val="center"/>
        <w:rPr>
          <w:rFonts w:ascii="仿宋" w:hAnsi="仿宋" w:eastAsia="仿宋" w:cs="宋体"/>
          <w:b w:val="0"/>
          <w:bCs/>
          <w:sz w:val="36"/>
          <w:szCs w:val="36"/>
          <w:shd w:val="clear" w:color="auto" w:fill="FFFFFF"/>
        </w:rPr>
      </w:pPr>
      <w:bookmarkStart w:id="13" w:name="_Toc14063"/>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波兰弗罗茨瓦夫理工大学</w:t>
      </w:r>
      <w:bookmarkEnd w:id="13"/>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1FEB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85" w:type="dxa"/>
          </w:tcPr>
          <w:p w14:paraId="5D1DB959">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50B99434">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14:paraId="30C0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5" w:type="dxa"/>
          </w:tcPr>
          <w:p w14:paraId="286A4F02">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750A24E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14:paraId="546C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0E5B86F">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128DC1CF">
            <w:pPr>
              <w:pStyle w:val="27"/>
              <w:widowControl/>
              <w:rPr>
                <w:rFonts w:ascii="仿宋" w:hAnsi="仿宋" w:eastAsia="仿宋" w:cs="宋体"/>
              </w:rPr>
            </w:pPr>
            <w:r>
              <w:rPr>
                <w:rFonts w:hint="eastAsia" w:ascii="仿宋" w:hAnsi="仿宋" w:eastAsia="仿宋" w:cs="宋体"/>
              </w:rPr>
              <w:t>申请时为大二或大三全日制在读本科生</w:t>
            </w:r>
          </w:p>
        </w:tc>
      </w:tr>
      <w:tr w14:paraId="42B5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688CC1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21D74DBE">
            <w:pPr>
              <w:pStyle w:val="27"/>
              <w:widowControl/>
              <w:rPr>
                <w:rFonts w:ascii="仿宋" w:hAnsi="仿宋" w:eastAsia="仿宋" w:cs="宋体"/>
              </w:rPr>
            </w:pPr>
            <w:r>
              <w:rPr>
                <w:rFonts w:ascii="仿宋" w:hAnsi="仿宋" w:eastAsia="仿宋" w:cs="宋体"/>
              </w:rPr>
              <w:t>5</w:t>
            </w:r>
          </w:p>
        </w:tc>
      </w:tr>
      <w:tr w14:paraId="6139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14:paraId="75C48B56">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28736D57">
            <w:pPr>
              <w:pStyle w:val="27"/>
              <w:widowControl/>
              <w:rPr>
                <w:rFonts w:ascii="仿宋" w:hAnsi="仿宋" w:eastAsia="仿宋" w:cs="宋体"/>
              </w:rPr>
            </w:pPr>
            <w:r>
              <w:rPr>
                <w:rFonts w:hint="eastAsia" w:ascii="仿宋" w:hAnsi="仿宋" w:eastAsia="仿宋" w:cs="宋体"/>
              </w:rPr>
              <w:t>1学期或1学年</w:t>
            </w:r>
          </w:p>
        </w:tc>
      </w:tr>
      <w:tr w14:paraId="49DA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9E65411">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12093FB7">
            <w:pPr>
              <w:pStyle w:val="27"/>
              <w:widowControl/>
              <w:rPr>
                <w:rFonts w:ascii="仿宋" w:hAnsi="仿宋" w:eastAsia="仿宋" w:cs="宋体"/>
              </w:rPr>
            </w:pPr>
            <w:r>
              <w:rPr>
                <w:rFonts w:ascii="仿宋" w:hAnsi="仿宋" w:eastAsia="仿宋" w:cs="宋体"/>
              </w:rPr>
              <w:t>5</w:t>
            </w:r>
            <w:r>
              <w:rPr>
                <w:rFonts w:hint="eastAsia" w:ascii="仿宋" w:hAnsi="仿宋" w:eastAsia="仿宋" w:cs="宋体"/>
              </w:rPr>
              <w:t>个免学费名额</w:t>
            </w:r>
          </w:p>
        </w:tc>
      </w:tr>
      <w:tr w14:paraId="076D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4E7D483">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6CE51200">
            <w:pPr>
              <w:pStyle w:val="27"/>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14:paraId="475D9E71">
            <w:pPr>
              <w:pStyle w:val="27"/>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14:paraId="60FC8933">
            <w:pPr>
              <w:pStyle w:val="27"/>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（3）品学兼优，学习成绩排名前列，综合表现突出，GPA不低于3.0；</w:t>
            </w:r>
          </w:p>
          <w:p w14:paraId="7D6859BB">
            <w:pPr>
              <w:pStyle w:val="27"/>
              <w:widowControl/>
              <w:shd w:val="clear" w:color="auto" w:fill="FFFFFF"/>
              <w:rPr>
                <w:rFonts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14:paraId="02B9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FA12AF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2A10D08A">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7BC4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347C34F2">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0C51FA4C">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6E9510E0">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34ECA0F4">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623DBE79">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33076200">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70D1558B">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5DBE7FE4">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35A8E866">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053A0C93">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14:paraId="463B5A53"/>
    <w:p w14:paraId="10A7AB3E">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4" w:name="_Toc7828"/>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克罗地亚萨格勒布大学</w:t>
      </w:r>
      <w:bookmarkEnd w:id="14"/>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53F5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14:paraId="62CD300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06D7BFA1">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14:paraId="09E0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85" w:type="dxa"/>
          </w:tcPr>
          <w:p w14:paraId="50804FD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64C1B65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控制与计算机学院，电气与电子工程学院</w:t>
            </w:r>
          </w:p>
        </w:tc>
      </w:tr>
      <w:tr w14:paraId="5306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5" w:type="dxa"/>
          </w:tcPr>
          <w:p w14:paraId="7F8CF95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03C78F9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608D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1319C07">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2D96710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621E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5C4E012">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377D116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14:paraId="5312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88ACBEF">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27F2525B">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免学费，其余费用自理</w:t>
            </w:r>
          </w:p>
        </w:tc>
      </w:tr>
      <w:tr w14:paraId="3C69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0E681391">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24D1AFB7">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02A7D9D4">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5A30D0CD">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14:paraId="47E9EEC7">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水平，获通过语言面试。</w:t>
            </w:r>
          </w:p>
        </w:tc>
      </w:tr>
      <w:tr w14:paraId="3A7D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BD844BF">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14:paraId="1A2E715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14:paraId="546A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773F0C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5A99BEDE">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lang w:bidi="ar"/>
                <w14:textFill>
                  <w14:solidFill>
                    <w14:schemeClr w14:val="tx1"/>
                  </w14:solidFill>
                </w14:textFill>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Pr>
                <w:rFonts w:hint="eastAsia" w:ascii="仿宋" w:hAnsi="仿宋" w:eastAsia="仿宋" w:cs="宋体"/>
                <w:color w:val="000000" w:themeColor="text1"/>
                <w:sz w:val="24"/>
                <w14:textFill>
                  <w14:solidFill>
                    <w14:schemeClr w14:val="tx1"/>
                  </w14:solidFill>
                </w14:textFill>
              </w:rPr>
              <w:t>自1874年以来，萨格勒布大学共计培养超过20万名本科生，1万8千名硕士和8千名博士。2018世界大学排名（CWUR）位列第463名。</w:t>
            </w:r>
          </w:p>
        </w:tc>
      </w:tr>
      <w:tr w14:paraId="7F4F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43E31486">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4D5537C4">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4A339758">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17B98D02">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6D154855">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48BB66FB">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4B2066B4">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04BF4F14">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70386BD8">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3A530869">
      <w:pPr>
        <w:pStyle w:val="4"/>
        <w:jc w:val="cente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p>
    <w:p w14:paraId="4DCC3DF9">
      <w:pPr>
        <w:pStyle w:val="4"/>
        <w:jc w:val="cente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p>
    <w:p w14:paraId="4B1C5ED5">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5" w:name="_Toc30251"/>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俄罗斯乌拉尔国立经济</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15"/>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71B2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14:paraId="2F8E1868">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14:paraId="13F8EF34">
            <w:pPr>
              <w:widowControl/>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每学期选派优秀本科生进行交流学习。学习结束后，学生可将相关学分转换回我校</w:t>
            </w:r>
          </w:p>
        </w:tc>
      </w:tr>
      <w:tr w14:paraId="37B4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85" w:type="dxa"/>
          </w:tcPr>
          <w:p w14:paraId="57BAAEB5">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14:paraId="09F8DD79">
            <w:pPr>
              <w:pStyle w:val="27"/>
              <w:widowControl/>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14:paraId="2542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5" w:type="dxa"/>
          </w:tcPr>
          <w:p w14:paraId="747D227F">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14:paraId="66DB428D">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14:paraId="4FA0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A51C2D0">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14:paraId="0AAA8954">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14:paraId="0D42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4C187C1">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14:paraId="200C45BE">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14:paraId="5977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1ACC878">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14:paraId="690CE4FC">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免学费，其余费用自理</w:t>
            </w:r>
          </w:p>
          <w:p w14:paraId="7AEF5F57">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宿舍费——每月约1000卢布</w:t>
            </w:r>
          </w:p>
          <w:p w14:paraId="3CF59BD8">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体检-3000卢布</w:t>
            </w:r>
          </w:p>
          <w:p w14:paraId="6C8925C8">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保险-3500卢布</w:t>
            </w:r>
          </w:p>
          <w:p w14:paraId="2280CD74">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签证延期-1600卢布</w:t>
            </w:r>
          </w:p>
          <w:p w14:paraId="3897D21D">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指纹-2000卢布</w:t>
            </w:r>
          </w:p>
          <w:p w14:paraId="1991F4CA">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更多内容可查询官网：https://abit.usue.ru/baza-profilej-bakalavriat/</w:t>
            </w:r>
          </w:p>
        </w:tc>
      </w:tr>
      <w:tr w14:paraId="05A6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C1E5694">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14:paraId="617961EB">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14:paraId="70BA96C7">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14:paraId="2CA9AD40">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14:paraId="5D10626E">
            <w:pPr>
              <w:pStyle w:val="27"/>
              <w:widowControl/>
              <w:shd w:val="clear" w:color="auto" w:fill="FFFFFF"/>
              <w:rPr>
                <w:rFonts w:hint="default" w:ascii="仿宋" w:hAnsi="仿宋" w:eastAsia="仿宋" w:cs="宋体"/>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w:t>
            </w: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p>
        </w:tc>
      </w:tr>
      <w:tr w14:paraId="6BDE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049C5CD">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申请办法</w:t>
            </w:r>
          </w:p>
        </w:tc>
        <w:tc>
          <w:tcPr>
            <w:tcW w:w="6515" w:type="dxa"/>
          </w:tcPr>
          <w:p w14:paraId="7C054D43">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个人申请，院系推荐，择优录取</w:t>
            </w:r>
          </w:p>
        </w:tc>
      </w:tr>
      <w:tr w14:paraId="7D29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65761D1">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14:paraId="54432512">
            <w:pPr>
              <w:keepNext w:val="0"/>
              <w:keepLines w:val="0"/>
              <w:widowControl/>
              <w:suppressLineNumbers w:val="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俄罗斯乌拉尔国立经济大学简介:俄罗斯乌拉尔国立经济大学（The Ural State University of Economics，简称USUE），成立于1967年，位于</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叶卡捷琳堡，学校前身为乌拉尔国民经济学院，1993年正式更名为乌拉尔国立经济大学。俄罗斯乌拉尔国立经济大学设有四个学院（研究所），包括经济学研究所，金融与法律研究所，贸易、食品技术与服务研究所，以及管理与信息技术研究所。在</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教育部的指示下，以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"https://baike.baidu.com/item/%E5%85%A8%E6%97%A5%E5%88%B6%E6%95%99%E8%82%B2/827804?fromModule=lemma_inlink"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全日制教育</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为基础，开设本科、</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"https://baike.baidu.com/item/%E7%A1%95%E5%A3%AB/237792?fromModule=lemma_inlink"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硕士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及</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"https://baike.baidu.com/item/%E5%8D%9A%E5%A3%AB/2235592?fromModule=lemma_inlink"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博士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相关专业。2015年，俄罗斯乌拉尔国立经济大学加入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"https://baike.baidu.com/item/%E2%80%9C%E4%B8%80%E5%B8%A6%E4%B8%80%E8%B7%AF%E2%80%9D%E9%AB%98%E6%A0%A1%E6%88%98%E7%95%A5%E8%81%94%E7%9B%9F/18726361?fromModule=lemma_inlink"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“一带一路”高校战略联盟</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。学校主页：</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"https://en.usue.ru/" \t "https://mail.qq.com/cgi-bin/_blank"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en.usue.ru</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p>
        </w:tc>
      </w:tr>
      <w:tr w14:paraId="0461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40FAB11E">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vAlign w:val="center"/>
          </w:tcPr>
          <w:p w14:paraId="26787CE7">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14:paraId="57C2C432">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14:paraId="1BA29A5F">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14:paraId="5B33B4D3">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14:paraId="0F3AC1DD">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14:paraId="524952CA">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赵乔</w:t>
            </w:r>
          </w:p>
          <w:p w14:paraId="4C6CF0DA">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0312-7522348</w:t>
            </w:r>
          </w:p>
          <w:p w14:paraId="503678BE">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综合楼710</w:t>
            </w:r>
          </w:p>
        </w:tc>
      </w:tr>
    </w:tbl>
    <w:p w14:paraId="635C3422">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050BDEEC">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32545DF5">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27E82569">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6" w:name="_Toc1484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韩国首尔市立大学</w:t>
      </w:r>
      <w:bookmarkEnd w:id="1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45C7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605A6B37">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7D9A4EF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14:paraId="3046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08D0FCA">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3E245BF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0B1B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806C641">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52F8EBEA">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1556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069B117">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011AD20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14:paraId="3B6D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79BF1EF">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7DFB063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3582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985" w:type="dxa"/>
          </w:tcPr>
          <w:p w14:paraId="71989A4C">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4A489B16">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14:paraId="1D240E1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14:paraId="53DF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A2F61E3">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586CC629">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029674C2">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4AE4E9B4">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1C5EF2F8">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14:paraId="101F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B73892D">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49F8ABAB">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14:paraId="7039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5B549AB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1DAE5578">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409279BA">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31C0903E">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7C6CB445">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2CEAC251">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6593D480">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1C85375D">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3CCC13FB">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72B9E5A8">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7C004182">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092BAE8B">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09923BAA">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7D057A08">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7" w:name="_Toc27692"/>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韩国庆北大学</w:t>
      </w:r>
      <w:bookmarkEnd w:id="1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747D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1C8AF317">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28C6DFBB">
            <w:pPr>
              <w:pStyle w:val="27"/>
              <w:widowControl/>
              <w:ind w:left="226"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每年选拔2名优秀本科生或研究生进行一学期的学习。学生学习结束后，可将相关学分转换回我校。</w:t>
            </w:r>
          </w:p>
        </w:tc>
      </w:tr>
      <w:tr w14:paraId="4CA0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3CE43C6">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7B02FAF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2411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EF7DA80">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1617F1B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0ACF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7A2FD33">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01C72F5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14:paraId="247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2161A1C">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08F4448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75B0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70EA3D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3DA3BEE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14:paraId="656397B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14:paraId="615F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69979C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0B937F46">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743C855F">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01E7113C">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14:paraId="2261A583">
            <w:pPr>
              <w:pStyle w:val="27"/>
              <w:widowControl/>
              <w:ind w:right="226"/>
              <w:rPr>
                <w:rFonts w:hint="default" w:ascii="仿宋" w:hAnsi="仿宋" w:eastAsia="仿宋" w:cs="宋体"/>
                <w:color w:val="000000" w:themeColor="text1"/>
                <w:shd w:val="clear" w:color="auto" w:fill="FFFFFF"/>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14:paraId="642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011669BD">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1767C1BE">
            <w:pPr>
              <w:pStyle w:val="27"/>
              <w:widowControl/>
              <w:shd w:val="clear" w:color="auto" w:fill="FFFFFF"/>
              <w:rPr>
                <w:rFonts w:ascii="仿宋" w:hAnsi="仿宋" w:eastAsia="仿宋" w:cs="宋体"/>
                <w:color w:val="000000" w:themeColor="text1"/>
                <w14:textFill>
                  <w14:solidFill>
                    <w14:schemeClr w14:val="tx1"/>
                  </w14:solidFill>
                </w14:textFill>
              </w:rPr>
            </w:pPr>
            <w:r>
              <w:rPr>
                <w:rStyle w:val="33"/>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14:paraId="1619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0EB37D0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06E3749C">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6F611FFE">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21A125D2">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24D957CD">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34023F8A">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7CB28128">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77A9D391">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240B0A53">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296887F2">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47FAE67D">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8" w:name="_Toc1121"/>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韩国淑明女子大学</w:t>
      </w:r>
      <w:bookmarkEnd w:id="1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3BE3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34377886">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4618A20A">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14:paraId="3936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3D2F9F6">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4A6F505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429A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D892CAD">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66D60DF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285C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0BCB05A">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36CCF906">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14:paraId="3EDC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C74847C">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3323D9B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5571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F5E640B">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3685C33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14:paraId="7E4E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1C6D15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14:paraId="6FB17BE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14:paraId="6696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3A0D8F6A">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555C0257">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14:paraId="32D7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5F97B7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3B9E6BF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14:paraId="0601939C">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14:paraId="3AB3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4A0ECA1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2D1BD6ED">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5E5DCFEA">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07F24EF7">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44F5AFDC">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7640AE4C">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6097F975">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65322E0B">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026DD938">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710A2241">
      <w:pPr>
        <w:pStyle w:val="4"/>
        <w:jc w:val="both"/>
        <w:rPr>
          <w:rFonts w:hint="eastAsia" w:ascii="仿宋" w:hAnsi="仿宋" w:eastAsia="仿宋"/>
          <w:color w:val="000000"/>
          <w:sz w:val="36"/>
          <w:szCs w:val="36"/>
          <w14:textFill>
            <w14:solidFill>
              <w14:srgbClr w14:val="000000">
                <w14:lumMod w14:val="75000"/>
                <w14:lumOff w14:val="25000"/>
              </w14:srgbClr>
            </w14:solidFill>
          </w14:textFill>
        </w:rPr>
      </w:pPr>
    </w:p>
    <w:p w14:paraId="11587F24">
      <w:pPr>
        <w:pStyle w:val="4"/>
        <w:ind w:firstLine="3253" w:firstLineChars="900"/>
        <w:jc w:val="both"/>
        <w:rPr>
          <w:rFonts w:hint="eastAsia" w:ascii="仿宋" w:hAnsi="仿宋" w:eastAsia="仿宋"/>
          <w:color w:val="000000"/>
          <w:sz w:val="36"/>
          <w:szCs w:val="36"/>
          <w14:textFill>
            <w14:solidFill>
              <w14:srgbClr w14:val="000000">
                <w14:lumMod w14:val="75000"/>
                <w14:lumOff w14:val="25000"/>
              </w14:srgbClr>
            </w14:solidFill>
          </w14:textFill>
        </w:rPr>
      </w:pPr>
    </w:p>
    <w:p w14:paraId="7D39D706">
      <w:pPr>
        <w:pStyle w:val="4"/>
        <w:ind w:firstLine="3253" w:firstLineChars="900"/>
        <w:jc w:val="both"/>
        <w:rPr>
          <w:rFonts w:hint="eastAsia" w:ascii="仿宋" w:hAnsi="仿宋" w:eastAsia="仿宋"/>
          <w:color w:val="000000"/>
          <w:sz w:val="36"/>
          <w:szCs w:val="36"/>
          <w14:textFill>
            <w14:solidFill>
              <w14:srgbClr w14:val="000000">
                <w14:lumMod w14:val="75000"/>
                <w14:lumOff w14:val="25000"/>
              </w14:srgbClr>
            </w14:solidFill>
          </w14:textFill>
        </w:rPr>
      </w:pPr>
    </w:p>
    <w:p w14:paraId="037D8B63">
      <w:pPr>
        <w:rPr>
          <w:rFonts w:hint="eastAsia" w:ascii="仿宋" w:hAnsi="仿宋" w:eastAsia="仿宋"/>
          <w:color w:val="000000"/>
          <w:sz w:val="36"/>
          <w:szCs w:val="36"/>
          <w14:textFill>
            <w14:solidFill>
              <w14:srgbClr w14:val="000000">
                <w14:lumMod w14:val="75000"/>
                <w14:lumOff w14:val="25000"/>
              </w14:srgbClr>
            </w14:solidFill>
          </w14:textFill>
        </w:rPr>
      </w:pPr>
    </w:p>
    <w:p w14:paraId="30421097">
      <w:pPr>
        <w:rPr>
          <w:rFonts w:hint="eastAsia" w:ascii="仿宋" w:hAnsi="仿宋" w:eastAsia="仿宋"/>
          <w:color w:val="000000"/>
          <w:sz w:val="36"/>
          <w:szCs w:val="36"/>
          <w14:textFill>
            <w14:solidFill>
              <w14:srgbClr w14:val="000000">
                <w14:lumMod w14:val="75000"/>
                <w14:lumOff w14:val="25000"/>
              </w14:srgbClr>
            </w14:solidFill>
          </w14:textFill>
        </w:rPr>
      </w:pPr>
    </w:p>
    <w:p w14:paraId="1EF1F70F">
      <w:pPr>
        <w:pStyle w:val="4"/>
        <w:jc w:val="center"/>
        <w:rPr>
          <w:rFonts w:ascii="仿宋" w:hAnsi="仿宋" w:eastAsia="仿宋"/>
          <w:color w:val="000000"/>
          <w:sz w:val="36"/>
          <w:szCs w:val="36"/>
          <w14:textFill>
            <w14:solidFill>
              <w14:srgbClr w14:val="000000">
                <w14:lumMod w14:val="75000"/>
                <w14:lumOff w14:val="25000"/>
              </w14:srgbClr>
            </w14:solidFill>
          </w14:textFill>
        </w:rPr>
      </w:pPr>
      <w:bookmarkStart w:id="19" w:name="_Toc30839"/>
      <w:r>
        <w:rPr>
          <w:rFonts w:hint="eastAsia" w:ascii="仿宋" w:hAnsi="仿宋" w:eastAsia="仿宋"/>
          <w:color w:val="000000"/>
          <w:sz w:val="36"/>
          <w:szCs w:val="36"/>
          <w14:textFill>
            <w14:solidFill>
              <w14:srgbClr w14:val="000000">
                <w14:lumMod w14:val="75000"/>
                <w14:lumOff w14:val="25000"/>
              </w14:srgbClr>
            </w14:solidFill>
          </w14:textFill>
        </w:rPr>
        <w:t>韩国祥明大学</w:t>
      </w:r>
      <w:bookmarkEnd w:id="19"/>
    </w:p>
    <w:tbl>
      <w:tblPr>
        <w:tblStyle w:val="30"/>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504"/>
      </w:tblGrid>
      <w:tr w14:paraId="18F9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91" w:type="dxa"/>
            <w:vAlign w:val="center"/>
          </w:tcPr>
          <w:p w14:paraId="567F6D98">
            <w:pPr>
              <w:pStyle w:val="27"/>
              <w:widowControl/>
              <w:rPr>
                <w:rFonts w:ascii="仿宋" w:hAnsi="仿宋" w:eastAsia="仿宋" w:cs="宋体"/>
                <w:bCs/>
              </w:rPr>
            </w:pPr>
            <w:r>
              <w:rPr>
                <w:rFonts w:hint="eastAsia" w:ascii="仿宋" w:hAnsi="仿宋" w:eastAsia="仿宋" w:cs="宋体"/>
                <w:b/>
              </w:rPr>
              <w:t>项目内容</w:t>
            </w:r>
          </w:p>
        </w:tc>
        <w:tc>
          <w:tcPr>
            <w:tcW w:w="6504" w:type="dxa"/>
            <w:vAlign w:val="center"/>
          </w:tcPr>
          <w:p w14:paraId="590D136F">
            <w:pPr>
              <w:pStyle w:val="27"/>
              <w:widowControl/>
              <w:shd w:val="clear" w:color="auto" w:fill="FFFFFF"/>
              <w:rPr>
                <w:rFonts w:ascii="仿宋" w:hAnsi="仿宋" w:eastAsia="仿宋" w:cs="宋体"/>
                <w:bCs/>
                <w:spacing w:val="8"/>
              </w:rPr>
            </w:pPr>
            <w:r>
              <w:rPr>
                <w:rFonts w:hint="eastAsia" w:ascii="仿宋" w:hAnsi="仿宋" w:eastAsia="仿宋" w:cs="宋体"/>
                <w:shd w:val="clear" w:color="auto" w:fill="FFFFFF"/>
              </w:rPr>
              <w:t>每年选派2名优秀本科生或研究生到对方进行一学期或一学年的学习。学习结束后，可将相关学分转换回我校。</w:t>
            </w:r>
          </w:p>
        </w:tc>
      </w:tr>
      <w:tr w14:paraId="20D2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91" w:type="dxa"/>
            <w:vAlign w:val="center"/>
          </w:tcPr>
          <w:p w14:paraId="56865513">
            <w:pPr>
              <w:pStyle w:val="27"/>
              <w:widowControl/>
              <w:rPr>
                <w:rFonts w:ascii="仿宋" w:hAnsi="仿宋" w:eastAsia="仿宋" w:cs="宋体"/>
                <w:bCs/>
              </w:rPr>
            </w:pPr>
            <w:r>
              <w:rPr>
                <w:rFonts w:hint="eastAsia" w:ascii="仿宋" w:hAnsi="仿宋" w:eastAsia="仿宋" w:cs="宋体"/>
                <w:b/>
              </w:rPr>
              <w:t>选派专业</w:t>
            </w:r>
          </w:p>
        </w:tc>
        <w:tc>
          <w:tcPr>
            <w:tcW w:w="6504" w:type="dxa"/>
            <w:vAlign w:val="center"/>
          </w:tcPr>
          <w:p w14:paraId="6BC713D4">
            <w:pPr>
              <w:pStyle w:val="27"/>
              <w:shd w:val="clear" w:color="auto" w:fill="FFFFFF"/>
              <w:rPr>
                <w:rFonts w:ascii="仿宋" w:hAnsi="仿宋" w:eastAsia="仿宋" w:cs="宋体"/>
                <w:bCs/>
                <w:spacing w:val="8"/>
              </w:rPr>
            </w:pPr>
            <w:r>
              <w:rPr>
                <w:rFonts w:hint="eastAsia" w:ascii="仿宋" w:hAnsi="仿宋" w:eastAsia="仿宋" w:cs="宋体"/>
                <w:bCs/>
              </w:rPr>
              <w:t>专业不限。外方为留学生开设收费韩语学习课程详情请参考http://cklc.smu.ac.kr/</w:t>
            </w:r>
          </w:p>
        </w:tc>
      </w:tr>
      <w:tr w14:paraId="56BD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91" w:type="dxa"/>
            <w:vAlign w:val="center"/>
          </w:tcPr>
          <w:p w14:paraId="33EFB6E2">
            <w:pPr>
              <w:pStyle w:val="27"/>
              <w:widowControl/>
              <w:rPr>
                <w:rFonts w:ascii="仿宋" w:hAnsi="仿宋" w:eastAsia="仿宋" w:cs="宋体"/>
                <w:bCs/>
              </w:rPr>
            </w:pPr>
            <w:r>
              <w:rPr>
                <w:rFonts w:hint="eastAsia" w:ascii="仿宋" w:hAnsi="仿宋" w:eastAsia="仿宋" w:cs="宋体"/>
                <w:b/>
              </w:rPr>
              <w:t>选派类别</w:t>
            </w:r>
          </w:p>
        </w:tc>
        <w:tc>
          <w:tcPr>
            <w:tcW w:w="6504" w:type="dxa"/>
            <w:vAlign w:val="center"/>
          </w:tcPr>
          <w:p w14:paraId="425FCB6D">
            <w:pPr>
              <w:pStyle w:val="27"/>
              <w:shd w:val="clear" w:color="auto" w:fill="FFFFFF"/>
              <w:rPr>
                <w:rFonts w:ascii="仿宋" w:hAnsi="仿宋" w:eastAsia="仿宋" w:cs="宋体"/>
                <w:bCs/>
              </w:rPr>
            </w:pPr>
            <w:r>
              <w:rPr>
                <w:rFonts w:hint="eastAsia" w:ascii="仿宋" w:hAnsi="仿宋" w:eastAsia="仿宋" w:cs="宋体"/>
              </w:rPr>
              <w:t>申请时为大二或大三全日制在读本科生</w:t>
            </w:r>
          </w:p>
        </w:tc>
      </w:tr>
      <w:tr w14:paraId="4BB0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91" w:type="dxa"/>
            <w:vAlign w:val="center"/>
          </w:tcPr>
          <w:p w14:paraId="6AA1F21D">
            <w:pPr>
              <w:pStyle w:val="27"/>
              <w:widowControl/>
              <w:rPr>
                <w:rFonts w:ascii="仿宋" w:hAnsi="仿宋" w:eastAsia="仿宋" w:cs="宋体"/>
                <w:bCs/>
              </w:rPr>
            </w:pPr>
            <w:r>
              <w:rPr>
                <w:rFonts w:hint="eastAsia" w:ascii="仿宋" w:hAnsi="仿宋" w:eastAsia="仿宋" w:cs="宋体"/>
                <w:b/>
              </w:rPr>
              <w:t>选派人数</w:t>
            </w:r>
          </w:p>
        </w:tc>
        <w:tc>
          <w:tcPr>
            <w:tcW w:w="6504" w:type="dxa"/>
            <w:vAlign w:val="center"/>
          </w:tcPr>
          <w:p w14:paraId="755043A9">
            <w:pPr>
              <w:pStyle w:val="27"/>
              <w:shd w:val="clear" w:color="auto" w:fill="FFFFFF"/>
              <w:rPr>
                <w:rFonts w:ascii="仿宋" w:hAnsi="仿宋" w:eastAsia="仿宋" w:cs="宋体"/>
                <w:bCs/>
                <w:spacing w:val="8"/>
              </w:rPr>
            </w:pPr>
            <w:r>
              <w:rPr>
                <w:rFonts w:hint="eastAsia" w:ascii="仿宋" w:hAnsi="仿宋" w:eastAsia="仿宋" w:cs="宋体"/>
                <w:bCs/>
                <w:spacing w:val="8"/>
              </w:rPr>
              <w:t>2个免学费名额</w:t>
            </w:r>
          </w:p>
        </w:tc>
      </w:tr>
      <w:tr w14:paraId="341E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91" w:type="dxa"/>
            <w:vAlign w:val="center"/>
          </w:tcPr>
          <w:p w14:paraId="59F27E16">
            <w:pPr>
              <w:pStyle w:val="27"/>
              <w:widowControl/>
              <w:rPr>
                <w:rFonts w:ascii="仿宋" w:hAnsi="仿宋" w:eastAsia="仿宋" w:cs="宋体"/>
                <w:bCs/>
              </w:rPr>
            </w:pPr>
            <w:r>
              <w:rPr>
                <w:rFonts w:hint="eastAsia" w:ascii="仿宋" w:hAnsi="仿宋" w:eastAsia="仿宋" w:cs="宋体"/>
                <w:b/>
              </w:rPr>
              <w:t>交流期限</w:t>
            </w:r>
          </w:p>
        </w:tc>
        <w:tc>
          <w:tcPr>
            <w:tcW w:w="6504" w:type="dxa"/>
            <w:vAlign w:val="center"/>
          </w:tcPr>
          <w:p w14:paraId="319A49D8">
            <w:pPr>
              <w:rPr>
                <w:rFonts w:ascii="仿宋" w:hAnsi="仿宋" w:eastAsia="仿宋" w:cs="宋体"/>
                <w:bCs/>
                <w:sz w:val="24"/>
              </w:rPr>
            </w:pPr>
            <w:r>
              <w:rPr>
                <w:rFonts w:hint="eastAsia" w:ascii="仿宋" w:hAnsi="仿宋" w:eastAsia="仿宋" w:cs="宋体"/>
                <w:bCs/>
                <w:sz w:val="24"/>
              </w:rPr>
              <w:t>1学期</w:t>
            </w:r>
          </w:p>
        </w:tc>
      </w:tr>
      <w:tr w14:paraId="206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91" w:type="dxa"/>
            <w:vAlign w:val="center"/>
          </w:tcPr>
          <w:p w14:paraId="22827979">
            <w:pPr>
              <w:pStyle w:val="27"/>
              <w:widowControl/>
              <w:rPr>
                <w:rFonts w:ascii="仿宋" w:hAnsi="仿宋" w:eastAsia="仿宋" w:cs="宋体"/>
                <w:bCs/>
              </w:rPr>
            </w:pPr>
            <w:r>
              <w:rPr>
                <w:rFonts w:hint="eastAsia" w:ascii="仿宋" w:hAnsi="仿宋" w:eastAsia="仿宋" w:cs="宋体"/>
                <w:b/>
              </w:rPr>
              <w:t>申请要求</w:t>
            </w:r>
          </w:p>
        </w:tc>
        <w:tc>
          <w:tcPr>
            <w:tcW w:w="6504" w:type="dxa"/>
            <w:vAlign w:val="center"/>
          </w:tcPr>
          <w:p w14:paraId="4C3DE2A0">
            <w:pPr>
              <w:rPr>
                <w:rFonts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14:paraId="7103132B">
            <w:pPr>
              <w:rPr>
                <w:rFonts w:ascii="仿宋" w:hAnsi="仿宋" w:eastAsia="仿宋" w:cs="宋体"/>
                <w:bCs/>
                <w:sz w:val="24"/>
              </w:rPr>
            </w:pPr>
            <w:r>
              <w:rPr>
                <w:rFonts w:hint="eastAsia" w:ascii="仿宋" w:hAnsi="仿宋" w:eastAsia="仿宋" w:cs="宋体"/>
                <w:bCs/>
                <w:sz w:val="24"/>
              </w:rPr>
              <w:t>2. 德、智、体全面发展，综合素质良好。</w:t>
            </w:r>
          </w:p>
          <w:p w14:paraId="058704FD">
            <w:pPr>
              <w:rPr>
                <w:rFonts w:ascii="仿宋" w:hAnsi="仿宋" w:eastAsia="仿宋" w:cs="宋体"/>
                <w:bCs/>
                <w:sz w:val="24"/>
              </w:rPr>
            </w:pPr>
            <w:r>
              <w:rPr>
                <w:rFonts w:hint="eastAsia" w:ascii="仿宋" w:hAnsi="仿宋" w:eastAsia="仿宋" w:cs="宋体"/>
                <w:bCs/>
                <w:sz w:val="24"/>
              </w:rPr>
              <w:t>3. 成绩要求: 学分绩点3.0及以上。</w:t>
            </w:r>
          </w:p>
          <w:p w14:paraId="0FB57E56">
            <w:pPr>
              <w:rPr>
                <w:rFonts w:ascii="仿宋" w:hAnsi="仿宋" w:eastAsia="仿宋" w:cs="宋体"/>
                <w:bCs/>
                <w:sz w:val="24"/>
              </w:rPr>
            </w:pPr>
            <w:r>
              <w:rPr>
                <w:rFonts w:hint="eastAsia" w:ascii="仿宋" w:hAnsi="仿宋" w:eastAsia="仿宋" w:cs="宋体"/>
                <w:bCs/>
                <w:sz w:val="24"/>
              </w:rPr>
              <w:t>4. 外语要求：建议提供相关外语成绩证明</w:t>
            </w:r>
          </w:p>
        </w:tc>
      </w:tr>
      <w:tr w14:paraId="3410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91" w:type="dxa"/>
            <w:vAlign w:val="center"/>
          </w:tcPr>
          <w:p w14:paraId="7B76DB27">
            <w:pPr>
              <w:pStyle w:val="27"/>
              <w:widowControl/>
              <w:rPr>
                <w:rFonts w:ascii="仿宋" w:hAnsi="仿宋" w:eastAsia="仿宋" w:cs="宋体"/>
                <w:bCs/>
              </w:rPr>
            </w:pPr>
            <w:r>
              <w:rPr>
                <w:rFonts w:hint="eastAsia" w:ascii="仿宋" w:hAnsi="仿宋" w:eastAsia="仿宋" w:cs="宋体"/>
                <w:b/>
              </w:rPr>
              <w:t>院校简介</w:t>
            </w:r>
          </w:p>
        </w:tc>
        <w:tc>
          <w:tcPr>
            <w:tcW w:w="6504" w:type="dxa"/>
            <w:vAlign w:val="center"/>
          </w:tcPr>
          <w:p w14:paraId="5FA4249A">
            <w:pPr>
              <w:pStyle w:val="27"/>
              <w:shd w:val="clear" w:color="auto" w:fill="FFFFFF"/>
              <w:rPr>
                <w:rFonts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0F73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6DCF1089">
            <w:pPr>
              <w:pStyle w:val="27"/>
              <w:widowControl/>
              <w:rPr>
                <w:rFonts w:ascii="仿宋" w:hAnsi="仿宋" w:eastAsia="仿宋" w:cs="宋体"/>
              </w:rPr>
            </w:pPr>
            <w:r>
              <w:rPr>
                <w:rFonts w:hint="eastAsia" w:ascii="仿宋" w:hAnsi="仿宋" w:eastAsia="仿宋" w:cs="宋体"/>
                <w:b/>
              </w:rPr>
              <w:t>报名咨询方式</w:t>
            </w:r>
          </w:p>
        </w:tc>
        <w:tc>
          <w:tcPr>
            <w:tcW w:w="6515" w:type="dxa"/>
            <w:vAlign w:val="center"/>
          </w:tcPr>
          <w:p w14:paraId="6C2E1610">
            <w:pPr>
              <w:rPr>
                <w:rFonts w:ascii="仿宋" w:hAnsi="仿宋" w:eastAsia="仿宋" w:cs="宋体"/>
                <w:sz w:val="24"/>
              </w:rPr>
            </w:pPr>
            <w:r>
              <w:rPr>
                <w:rFonts w:hint="eastAsia" w:ascii="仿宋" w:hAnsi="仿宋" w:eastAsia="仿宋" w:cs="宋体"/>
                <w:sz w:val="24"/>
              </w:rPr>
              <w:t>北京校部</w:t>
            </w:r>
          </w:p>
          <w:p w14:paraId="3EBFB79E">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14:paraId="49634D6E">
            <w:pPr>
              <w:rPr>
                <w:rFonts w:hint="eastAsia" w:ascii="仿宋" w:hAnsi="仿宋" w:eastAsia="仿宋" w:cs="宋体"/>
                <w:sz w:val="24"/>
                <w:lang w:eastAsia="zh-CN"/>
              </w:rPr>
            </w:pPr>
            <w:r>
              <w:rPr>
                <w:rFonts w:hint="eastAsia" w:ascii="仿宋" w:hAnsi="仿宋" w:eastAsia="仿宋" w:cs="宋体"/>
                <w:sz w:val="24"/>
              </w:rPr>
              <w:t>电话：010-6177</w:t>
            </w:r>
            <w:r>
              <w:rPr>
                <w:rFonts w:hint="eastAsia" w:ascii="仿宋" w:hAnsi="仿宋" w:eastAsia="仿宋" w:cs="宋体"/>
                <w:sz w:val="24"/>
                <w:lang w:eastAsia="zh-CN"/>
              </w:rPr>
              <w:t>2342</w:t>
            </w:r>
          </w:p>
          <w:p w14:paraId="331B6C79">
            <w:pPr>
              <w:rPr>
                <w:rFonts w:ascii="仿宋" w:hAnsi="仿宋" w:eastAsia="仿宋" w:cs="宋体"/>
                <w:sz w:val="24"/>
              </w:rPr>
            </w:pPr>
            <w:r>
              <w:rPr>
                <w:rFonts w:hint="eastAsia" w:ascii="仿宋" w:hAnsi="仿宋" w:eastAsia="仿宋" w:cs="宋体"/>
                <w:sz w:val="24"/>
              </w:rPr>
              <w:t>地点：主D837</w:t>
            </w:r>
          </w:p>
          <w:p w14:paraId="1268E1E5">
            <w:pPr>
              <w:rPr>
                <w:rFonts w:ascii="仿宋" w:hAnsi="仿宋" w:eastAsia="仿宋" w:cs="宋体"/>
                <w:sz w:val="24"/>
              </w:rPr>
            </w:pPr>
            <w:r>
              <w:rPr>
                <w:rFonts w:hint="eastAsia" w:ascii="仿宋" w:hAnsi="仿宋" w:eastAsia="仿宋" w:cs="宋体"/>
                <w:sz w:val="24"/>
              </w:rPr>
              <w:t>保定校区</w:t>
            </w:r>
          </w:p>
          <w:p w14:paraId="6425FCE6">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37975EDD">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79E6BC23">
            <w:pPr>
              <w:rPr>
                <w:rFonts w:hint="eastAsia" w:ascii="仿宋" w:hAnsi="仿宋" w:eastAsia="仿宋" w:cs="宋体"/>
                <w:sz w:val="24"/>
                <w:lang w:eastAsia="zh-CN"/>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5E89143F">
      <w:pPr>
        <w:pStyle w:val="4"/>
        <w:jc w:val="both"/>
        <w:rPr>
          <w:rFonts w:ascii="仿宋" w:hAnsi="仿宋" w:eastAsia="仿宋"/>
          <w:color w:val="000000"/>
          <w:sz w:val="36"/>
          <w:szCs w:val="36"/>
          <w14:textFill>
            <w14:solidFill>
              <w14:srgbClr w14:val="000000">
                <w14:lumMod w14:val="75000"/>
                <w14:lumOff w14:val="25000"/>
              </w14:srgbClr>
            </w14:solidFill>
          </w14:textFill>
        </w:rPr>
      </w:pPr>
    </w:p>
    <w:p w14:paraId="0DACB474">
      <w:pPr>
        <w:rPr>
          <w:rFonts w:hint="eastAsia" w:ascii="仿宋" w:hAnsi="仿宋" w:eastAsia="仿宋"/>
          <w:color w:val="000000"/>
          <w:sz w:val="36"/>
          <w:szCs w:val="36"/>
          <w:highlight w:val="none"/>
          <w:lang w:eastAsia="zh-CN"/>
          <w14:textFill>
            <w14:solidFill>
              <w14:srgbClr w14:val="000000">
                <w14:lumMod w14:val="75000"/>
                <w14:lumOff w14:val="25000"/>
              </w14:srgbClr>
            </w14:solidFill>
          </w14:textFill>
        </w:rPr>
      </w:pPr>
    </w:p>
    <w:p w14:paraId="3478615C">
      <w:pPr>
        <w:pStyle w:val="4"/>
        <w:jc w:val="center"/>
        <w:rPr>
          <w:rFonts w:hint="eastAsia" w:ascii="仿宋" w:hAnsi="仿宋" w:eastAsia="仿宋"/>
          <w:color w:val="000000"/>
          <w:sz w:val="36"/>
          <w:szCs w:val="36"/>
          <w:highlight w:val="none"/>
          <w14:textFill>
            <w14:solidFill>
              <w14:srgbClr w14:val="000000">
                <w14:lumMod w14:val="75000"/>
                <w14:lumOff w14:val="25000"/>
              </w14:srgbClr>
            </w14:solidFill>
          </w14:textFill>
        </w:rPr>
      </w:pPr>
    </w:p>
    <w:p w14:paraId="41BABA95">
      <w:pPr>
        <w:pStyle w:val="4"/>
        <w:jc w:val="center"/>
        <w:rPr>
          <w:rFonts w:ascii="仿宋" w:hAnsi="仿宋" w:eastAsia="仿宋"/>
          <w:color w:val="000000"/>
          <w:sz w:val="36"/>
          <w:szCs w:val="36"/>
          <w:highlight w:val="none"/>
          <w14:textFill>
            <w14:solidFill>
              <w14:srgbClr w14:val="000000">
                <w14:lumMod w14:val="75000"/>
                <w14:lumOff w14:val="25000"/>
              </w14:srgbClr>
            </w14:solidFill>
          </w14:textFill>
        </w:rPr>
      </w:pPr>
      <w:bookmarkStart w:id="20" w:name="_Toc19262"/>
      <w:r>
        <w:rPr>
          <w:rFonts w:hint="eastAsia" w:ascii="仿宋" w:hAnsi="仿宋" w:eastAsia="仿宋"/>
          <w:color w:val="000000"/>
          <w:sz w:val="36"/>
          <w:szCs w:val="36"/>
          <w:highlight w:val="none"/>
          <w14:textFill>
            <w14:solidFill>
              <w14:srgbClr w14:val="000000">
                <w14:lumMod w14:val="75000"/>
                <w14:lumOff w14:val="25000"/>
              </w14:srgbClr>
            </w14:solidFill>
          </w14:textFill>
        </w:rPr>
        <w:t>韩国光云大学</w:t>
      </w:r>
      <w:bookmarkEnd w:id="2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5150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457F88FF">
            <w:pPr>
              <w:pStyle w:val="27"/>
              <w:widowControl/>
              <w:rPr>
                <w:rFonts w:ascii="仿宋" w:hAnsi="仿宋" w:eastAsia="仿宋" w:cs="宋体"/>
                <w:b/>
                <w:highlight w:val="none"/>
              </w:rPr>
            </w:pPr>
            <w:r>
              <w:rPr>
                <w:rFonts w:hint="eastAsia" w:ascii="仿宋" w:hAnsi="仿宋" w:eastAsia="仿宋" w:cs="宋体"/>
                <w:b/>
                <w:highlight w:val="none"/>
                <w:shd w:val="clear" w:color="auto" w:fill="FFFFFF"/>
              </w:rPr>
              <w:t>项目内容</w:t>
            </w:r>
          </w:p>
        </w:tc>
        <w:tc>
          <w:tcPr>
            <w:tcW w:w="6515" w:type="dxa"/>
          </w:tcPr>
          <w:p w14:paraId="70EA119A">
            <w:pPr>
              <w:pStyle w:val="27"/>
              <w:widowControl/>
              <w:rPr>
                <w:rFonts w:ascii="仿宋" w:hAnsi="仿宋" w:eastAsia="仿宋" w:cs="宋体"/>
                <w:highlight w:val="none"/>
              </w:rPr>
            </w:pPr>
            <w:r>
              <w:rPr>
                <w:rFonts w:hint="eastAsia" w:ascii="仿宋" w:hAnsi="仿宋" w:eastAsia="仿宋" w:cs="宋体"/>
                <w:highlight w:val="none"/>
                <w:shd w:val="clear" w:color="auto" w:fill="FFFFFF"/>
              </w:rPr>
              <w:t>每学期选派2名优秀本科生进行交流学习。学习结束后，学生可将相关学分转换回我校</w:t>
            </w:r>
          </w:p>
        </w:tc>
      </w:tr>
      <w:tr w14:paraId="20BF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AF799D2">
            <w:pPr>
              <w:pStyle w:val="27"/>
              <w:widowControl/>
              <w:rPr>
                <w:rFonts w:ascii="仿宋" w:hAnsi="仿宋" w:eastAsia="仿宋" w:cs="宋体"/>
                <w:b/>
                <w:highlight w:val="none"/>
              </w:rPr>
            </w:pPr>
            <w:r>
              <w:rPr>
                <w:rFonts w:hint="eastAsia" w:ascii="仿宋" w:hAnsi="仿宋" w:eastAsia="仿宋" w:cs="宋体"/>
                <w:b/>
                <w:highlight w:val="none"/>
              </w:rPr>
              <w:t>选派专业</w:t>
            </w:r>
          </w:p>
        </w:tc>
        <w:tc>
          <w:tcPr>
            <w:tcW w:w="6515" w:type="dxa"/>
          </w:tcPr>
          <w:p w14:paraId="06B689EE">
            <w:pPr>
              <w:pStyle w:val="27"/>
              <w:widowControl/>
              <w:rPr>
                <w:rFonts w:ascii="仿宋" w:hAnsi="仿宋" w:eastAsia="仿宋" w:cs="宋体"/>
                <w:highlight w:val="none"/>
              </w:rPr>
            </w:pPr>
            <w:r>
              <w:rPr>
                <w:rFonts w:hint="eastAsia" w:ascii="仿宋" w:hAnsi="仿宋" w:eastAsia="仿宋" w:cs="宋体"/>
                <w:highlight w:val="none"/>
              </w:rPr>
              <w:t>不限</w:t>
            </w:r>
          </w:p>
        </w:tc>
      </w:tr>
      <w:tr w14:paraId="513F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9D7003D">
            <w:pPr>
              <w:pStyle w:val="27"/>
              <w:widowControl/>
              <w:rPr>
                <w:rFonts w:ascii="仿宋" w:hAnsi="仿宋" w:eastAsia="仿宋" w:cs="宋体"/>
                <w:b/>
                <w:highlight w:val="none"/>
              </w:rPr>
            </w:pPr>
            <w:r>
              <w:rPr>
                <w:rFonts w:hint="eastAsia" w:ascii="仿宋" w:hAnsi="仿宋" w:eastAsia="仿宋" w:cs="宋体"/>
                <w:b/>
                <w:highlight w:val="none"/>
              </w:rPr>
              <w:t>选派类别</w:t>
            </w:r>
          </w:p>
        </w:tc>
        <w:tc>
          <w:tcPr>
            <w:tcW w:w="6515" w:type="dxa"/>
          </w:tcPr>
          <w:p w14:paraId="141D237B">
            <w:pPr>
              <w:pStyle w:val="27"/>
              <w:widowControl/>
              <w:rPr>
                <w:rFonts w:ascii="仿宋" w:hAnsi="仿宋" w:eastAsia="仿宋" w:cs="宋体"/>
                <w:highlight w:val="none"/>
              </w:rPr>
            </w:pPr>
            <w:r>
              <w:rPr>
                <w:rFonts w:hint="eastAsia" w:ascii="仿宋" w:hAnsi="仿宋" w:eastAsia="仿宋" w:cs="宋体"/>
                <w:highlight w:val="none"/>
              </w:rPr>
              <w:t>申请时为大二或大三全日制在读本科生</w:t>
            </w:r>
          </w:p>
        </w:tc>
      </w:tr>
      <w:tr w14:paraId="1F31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7AE5B5B">
            <w:pPr>
              <w:pStyle w:val="27"/>
              <w:widowControl/>
              <w:rPr>
                <w:rFonts w:ascii="仿宋" w:hAnsi="仿宋" w:eastAsia="仿宋" w:cs="宋体"/>
                <w:b/>
                <w:highlight w:val="none"/>
              </w:rPr>
            </w:pPr>
            <w:r>
              <w:rPr>
                <w:rFonts w:hint="eastAsia" w:ascii="仿宋" w:hAnsi="仿宋" w:eastAsia="仿宋" w:cs="宋体"/>
                <w:b/>
                <w:highlight w:val="none"/>
              </w:rPr>
              <w:t>选派人数</w:t>
            </w:r>
          </w:p>
        </w:tc>
        <w:tc>
          <w:tcPr>
            <w:tcW w:w="6515" w:type="dxa"/>
          </w:tcPr>
          <w:p w14:paraId="2E176D29">
            <w:pPr>
              <w:pStyle w:val="27"/>
              <w:widowControl/>
              <w:rPr>
                <w:rFonts w:ascii="仿宋" w:hAnsi="仿宋" w:eastAsia="仿宋" w:cs="宋体"/>
                <w:highlight w:val="none"/>
              </w:rPr>
            </w:pPr>
            <w:r>
              <w:rPr>
                <w:rFonts w:hint="eastAsia" w:ascii="仿宋" w:hAnsi="仿宋" w:eastAsia="仿宋" w:cs="宋体"/>
                <w:highlight w:val="none"/>
              </w:rPr>
              <w:t>2</w:t>
            </w:r>
          </w:p>
        </w:tc>
      </w:tr>
      <w:tr w14:paraId="3241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76DD3F4">
            <w:pPr>
              <w:pStyle w:val="27"/>
              <w:widowControl/>
              <w:rPr>
                <w:rFonts w:ascii="仿宋" w:hAnsi="仿宋" w:eastAsia="仿宋" w:cs="宋体"/>
                <w:b/>
                <w:highlight w:val="none"/>
              </w:rPr>
            </w:pPr>
            <w:r>
              <w:rPr>
                <w:rFonts w:hint="eastAsia" w:ascii="仿宋" w:hAnsi="仿宋" w:eastAsia="仿宋" w:cs="宋体"/>
                <w:b/>
                <w:highlight w:val="none"/>
              </w:rPr>
              <w:t>交流期限</w:t>
            </w:r>
          </w:p>
        </w:tc>
        <w:tc>
          <w:tcPr>
            <w:tcW w:w="6515" w:type="dxa"/>
          </w:tcPr>
          <w:p w14:paraId="4C9A7103">
            <w:pPr>
              <w:pStyle w:val="27"/>
              <w:widowControl/>
              <w:rPr>
                <w:rFonts w:ascii="仿宋" w:hAnsi="仿宋" w:eastAsia="仿宋" w:cs="宋体"/>
                <w:highlight w:val="none"/>
              </w:rPr>
            </w:pPr>
            <w:r>
              <w:rPr>
                <w:rFonts w:hint="eastAsia" w:ascii="仿宋" w:hAnsi="仿宋" w:eastAsia="仿宋" w:cs="宋体"/>
                <w:highlight w:val="none"/>
              </w:rPr>
              <w:t>1学期</w:t>
            </w:r>
          </w:p>
        </w:tc>
      </w:tr>
      <w:tr w14:paraId="37AC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61D95C1">
            <w:pPr>
              <w:pStyle w:val="27"/>
              <w:widowControl/>
              <w:rPr>
                <w:rFonts w:ascii="仿宋" w:hAnsi="仿宋" w:eastAsia="仿宋" w:cs="宋体"/>
                <w:b/>
                <w:highlight w:val="none"/>
              </w:rPr>
            </w:pPr>
            <w:r>
              <w:rPr>
                <w:rFonts w:hint="eastAsia" w:ascii="仿宋" w:hAnsi="仿宋" w:eastAsia="仿宋" w:cs="宋体"/>
                <w:b/>
                <w:highlight w:val="none"/>
              </w:rPr>
              <w:t>所需费用</w:t>
            </w:r>
          </w:p>
        </w:tc>
        <w:tc>
          <w:tcPr>
            <w:tcW w:w="6515" w:type="dxa"/>
          </w:tcPr>
          <w:p w14:paraId="2A367135">
            <w:pPr>
              <w:pStyle w:val="27"/>
              <w:widowControl/>
              <w:rPr>
                <w:rFonts w:ascii="仿宋" w:hAnsi="仿宋" w:eastAsia="仿宋" w:cs="宋体"/>
                <w:highlight w:val="none"/>
              </w:rPr>
            </w:pPr>
            <w:r>
              <w:rPr>
                <w:rFonts w:hint="eastAsia" w:ascii="仿宋" w:hAnsi="仿宋" w:eastAsia="仿宋" w:cs="宋体"/>
                <w:highlight w:val="none"/>
              </w:rPr>
              <w:t>免学费，1学期所有生活费用大约为20000人民币</w:t>
            </w:r>
          </w:p>
          <w:p w14:paraId="01CF2911">
            <w:pPr>
              <w:pStyle w:val="27"/>
              <w:widowControl/>
              <w:rPr>
                <w:rFonts w:ascii="仿宋" w:hAnsi="仿宋" w:eastAsia="仿宋" w:cs="宋体"/>
                <w:highlight w:val="none"/>
              </w:rPr>
            </w:pPr>
            <w:r>
              <w:rPr>
                <w:rFonts w:hint="eastAsia" w:ascii="仿宋" w:hAnsi="仿宋" w:eastAsia="仿宋" w:cs="宋体"/>
                <w:highlight w:val="none"/>
              </w:rPr>
              <w:t>详情请咨询韩国光云大学官网https://www.kw.ac.kr/en/index.do</w:t>
            </w:r>
          </w:p>
        </w:tc>
      </w:tr>
      <w:tr w14:paraId="7AAA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7EDDBBF">
            <w:pPr>
              <w:pStyle w:val="27"/>
              <w:widowControl/>
              <w:rPr>
                <w:rFonts w:ascii="仿宋" w:hAnsi="仿宋" w:eastAsia="仿宋" w:cs="宋体"/>
                <w:b/>
                <w:highlight w:val="none"/>
              </w:rPr>
            </w:pPr>
            <w:r>
              <w:rPr>
                <w:rFonts w:hint="eastAsia" w:ascii="仿宋" w:hAnsi="仿宋" w:eastAsia="仿宋" w:cs="宋体"/>
                <w:b/>
                <w:highlight w:val="none"/>
              </w:rPr>
              <w:t>申请条件</w:t>
            </w:r>
          </w:p>
        </w:tc>
        <w:tc>
          <w:tcPr>
            <w:tcW w:w="6515" w:type="dxa"/>
          </w:tcPr>
          <w:p w14:paraId="222695A9">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（1）热爱祖国，具有良好的政治思想素质，在校期间无违法违纪记录；</w:t>
            </w:r>
          </w:p>
          <w:p w14:paraId="483F2C1F">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（2）身心健康，无不适合在外学习的疾病史；</w:t>
            </w:r>
          </w:p>
          <w:p w14:paraId="4015C583">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（3）品学兼优，学习成绩排名前列，综合表现突出；</w:t>
            </w:r>
          </w:p>
          <w:p w14:paraId="7AC65B02">
            <w:pPr>
              <w:pStyle w:val="27"/>
              <w:widowControl/>
              <w:shd w:val="clear" w:color="auto" w:fill="FFFFFF"/>
              <w:rPr>
                <w:rFonts w:hint="default" w:ascii="仿宋" w:hAnsi="仿宋" w:eastAsia="仿宋" w:cs="宋体"/>
                <w:highlight w:val="none"/>
                <w:lang w:val="en-US" w:eastAsia="zh-CN"/>
              </w:rPr>
            </w:pPr>
            <w:r>
              <w:rPr>
                <w:rFonts w:hint="eastAsia" w:ascii="仿宋" w:hAnsi="仿宋" w:eastAsia="仿宋" w:cs="宋体"/>
                <w:highlight w:val="none"/>
                <w:shd w:val="clear" w:color="auto" w:fill="FFFFFF"/>
              </w:rPr>
              <w:t>（4）</w:t>
            </w:r>
            <w:r>
              <w:rPr>
                <w:rFonts w:hint="eastAsia" w:ascii="仿宋" w:hAnsi="仿宋" w:eastAsia="仿宋" w:cs="宋体"/>
                <w:highlight w:val="none"/>
                <w:shd w:val="clear" w:color="auto" w:fill="FFFFFF"/>
                <w:lang w:val="en-US" w:eastAsia="zh-CN"/>
              </w:rPr>
              <w:t>英语托福成绩达61分或雅思5.0或TOPIK4分或修完两门韩语课程</w:t>
            </w:r>
          </w:p>
        </w:tc>
      </w:tr>
      <w:tr w14:paraId="6D1B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FD94762">
            <w:pPr>
              <w:pStyle w:val="27"/>
              <w:widowControl/>
              <w:rPr>
                <w:rFonts w:ascii="仿宋" w:hAnsi="仿宋" w:eastAsia="仿宋" w:cs="宋体"/>
                <w:b/>
                <w:highlight w:val="none"/>
              </w:rPr>
            </w:pPr>
            <w:r>
              <w:rPr>
                <w:rFonts w:hint="eastAsia" w:ascii="仿宋" w:hAnsi="仿宋" w:eastAsia="仿宋" w:cs="宋体"/>
                <w:b/>
                <w:highlight w:val="none"/>
              </w:rPr>
              <w:t>交流院系介绍</w:t>
            </w:r>
          </w:p>
        </w:tc>
        <w:tc>
          <w:tcPr>
            <w:tcW w:w="6515" w:type="dxa"/>
          </w:tcPr>
          <w:p w14:paraId="0498F1FC">
            <w:pPr>
              <w:pStyle w:val="27"/>
              <w:widowControl/>
              <w:shd w:val="clear" w:color="auto" w:fill="FFFFFF"/>
              <w:rPr>
                <w:rFonts w:ascii="仿宋" w:hAnsi="仿宋" w:eastAsia="仿宋" w:cs="宋体"/>
                <w:highlight w:val="none"/>
              </w:rPr>
            </w:pPr>
            <w:r>
              <w:rPr>
                <w:rFonts w:hint="eastAsia" w:ascii="仿宋" w:hAnsi="仿宋" w:eastAsia="仿宋" w:cs="宋体"/>
                <w:spacing w:val="8"/>
                <w:highlight w:val="none"/>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14:paraId="0FF1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4CFF0CA0">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tcPr>
          <w:p w14:paraId="155BA4D3">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14:paraId="1E30EFD8">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14:paraId="1CFB84F9">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14:paraId="091AC225">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14:paraId="7D038F0A">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14:paraId="0964E2ED">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赵乔</w:t>
            </w:r>
          </w:p>
          <w:p w14:paraId="4154D058">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0312-7522348</w:t>
            </w:r>
          </w:p>
          <w:p w14:paraId="500BB903">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综合楼710</w:t>
            </w:r>
          </w:p>
        </w:tc>
      </w:tr>
    </w:tbl>
    <w:p w14:paraId="0CDB2B17">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14:paraId="0F4C378A">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48915EE7">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1" w:name="_Toc2207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韩国汉城大学</w:t>
      </w:r>
      <w:bookmarkEnd w:id="2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64E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27D56EC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146425F4">
            <w:pPr>
              <w:pStyle w:val="2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每年选拔2名优秀本科生到对方进行一学期或一学年的学习。学生学习结束后，可将相关学分转换回我校。</w:t>
            </w:r>
          </w:p>
        </w:tc>
      </w:tr>
      <w:tr w14:paraId="3739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6DEA6E7">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2D219B45">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3B9C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0F321EC">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122574AE">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37BD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9BD2D0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58D0C38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14:paraId="7B7F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7D4358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45854384">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685A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6672FE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07B25832">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14:paraId="10EBC0C6">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14:paraId="360B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0779705F">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30D639B1">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1DB878B3">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19F32C94">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3C5A67CA">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14:paraId="4A80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2930EF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5A5B40C8">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14:paraId="0117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4350BCBA">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096D655A">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38749257">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3C4EBD69">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14EB76D6">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449210A8">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6434A22B">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037546A9">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45DCB955">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2E3181E6">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5815A34A">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6B554464">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102A3530">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2C76A633">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2" w:name="_Toc1483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韩国韩巴大学</w:t>
      </w:r>
      <w:bookmarkEnd w:id="2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69A6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284DB581">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4EE23B9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14:paraId="1566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8898333">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7153BC2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172D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BD7C8A9">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1988AB21">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0015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943E411">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392115B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14:paraId="1C76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8D2F3A7">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262694E5">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6709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031BB79">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36F5DF77">
            <w:pPr>
              <w:pStyle w:val="27"/>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14:paraId="7598AA8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14:paraId="4F46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44110793">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1CF26BA9">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14:paraId="79CF0E9C">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14:paraId="798DD626">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14:paraId="43ED3586">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14:paraId="30332637">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14:paraId="4235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77BC993">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14:paraId="2E860F5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14:paraId="0F1E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1D891E1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456DE921">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14:paraId="05C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696A785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4F38457D">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337F27C8">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0D18F036">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70AFD0E2">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55A0DEDA">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3BC78D96">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081850C6">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66C8D914">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6F2A388B">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04E248BF">
      <w:pPr>
        <w:pStyle w:val="29"/>
        <w:jc w:val="both"/>
        <w:rPr>
          <w:rFonts w:hint="eastAsia" w:ascii="仿宋" w:hAnsi="仿宋" w:eastAsia="仿宋"/>
          <w:sz w:val="40"/>
        </w:rPr>
      </w:pPr>
    </w:p>
    <w:p w14:paraId="37600B78">
      <w:pPr>
        <w:rPr>
          <w:rFonts w:hint="eastAsia"/>
        </w:rPr>
      </w:pPr>
    </w:p>
    <w:p w14:paraId="20F1E275">
      <w:pPr>
        <w:pStyle w:val="29"/>
        <w:rPr>
          <w:rFonts w:ascii="仿宋" w:hAnsi="仿宋" w:eastAsia="仿宋"/>
          <w:sz w:val="40"/>
        </w:rPr>
      </w:pPr>
      <w:bookmarkStart w:id="23" w:name="_Toc30548"/>
      <w:r>
        <w:rPr>
          <w:rFonts w:hint="eastAsia" w:ascii="仿宋" w:hAnsi="仿宋" w:eastAsia="仿宋"/>
          <w:sz w:val="40"/>
        </w:rPr>
        <w:t>自费项目</w:t>
      </w:r>
      <w:bookmarkEnd w:id="23"/>
    </w:p>
    <w:p w14:paraId="72A205C6">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4" w:name="_Toc10888"/>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捷克技术大学</w:t>
      </w:r>
      <w:bookmarkEnd w:id="2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2F9C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14:paraId="6159F05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6326804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14:paraId="3F8C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F71F31C">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5009BFA9">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rPr>
              <w:t>电气与电子工程学院</w:t>
            </w:r>
          </w:p>
        </w:tc>
      </w:tr>
      <w:tr w14:paraId="5D25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C50B23B">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3DF7FF60">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239D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9BE4CA3">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18A9DC6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25A6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14:paraId="45B6124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69B6044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14:paraId="3D30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EC1E84D">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77333FFA">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学费每学期约为</w:t>
            </w:r>
            <w:r>
              <w:rPr>
                <w:rFonts w:ascii="仿宋" w:hAnsi="仿宋" w:eastAsia="仿宋" w:cs="宋体"/>
                <w:color w:val="000000" w:themeColor="text1"/>
                <w14:textFill>
                  <w14:solidFill>
                    <w14:schemeClr w14:val="tx1"/>
                  </w14:solidFill>
                </w14:textFill>
              </w:rPr>
              <w:t>1650</w:t>
            </w:r>
            <w:r>
              <w:rPr>
                <w:rFonts w:hint="eastAsia" w:ascii="仿宋" w:hAnsi="仿宋" w:eastAsia="仿宋" w:cs="宋体"/>
                <w:color w:val="000000" w:themeColor="text1"/>
                <w14:textFill>
                  <w14:solidFill>
                    <w14:schemeClr w14:val="tx1"/>
                  </w14:solidFill>
                </w14:textFill>
              </w:rPr>
              <w:t>欧元</w:t>
            </w:r>
          </w:p>
          <w:p w14:paraId="77869DFE">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请咨询捷克技术大学官网</w:t>
            </w:r>
            <w:r>
              <w:fldChar w:fldCharType="begin"/>
            </w:r>
            <w:r>
              <w:instrText xml:space="preserve"> HYPERLINK "http://www.baidu.com/link?url=ZEVf4AyPgeL1qlOi-8NYLvDJ-rjZ_NrqAS_G1x-OhM3" \t "_blank" </w:instrText>
            </w:r>
            <w:r>
              <w:fldChar w:fldCharType="separate"/>
            </w:r>
            <w:r>
              <w:rPr>
                <w:rStyle w:val="35"/>
                <w:rFonts w:ascii="仿宋" w:hAnsi="仿宋" w:eastAsia="仿宋" w:cs="Arial"/>
                <w:color w:val="000000" w:themeColor="text1"/>
                <w:sz w:val="20"/>
                <w:szCs w:val="20"/>
                <w:shd w:val="clear" w:color="auto" w:fill="FFFFFF"/>
                <w14:textFill>
                  <w14:solidFill>
                    <w14:schemeClr w14:val="tx1"/>
                  </w14:solidFill>
                </w14:textFill>
              </w:rPr>
              <w:t>https://www.cvut.cz/</w:t>
            </w:r>
            <w:r>
              <w:rPr>
                <w:rStyle w:val="35"/>
                <w:rFonts w:ascii="仿宋" w:hAnsi="仿宋" w:eastAsia="仿宋" w:cs="Arial"/>
                <w:color w:val="000000" w:themeColor="text1"/>
                <w:sz w:val="20"/>
                <w:szCs w:val="20"/>
                <w:shd w:val="clear" w:color="auto" w:fill="FFFFFF"/>
                <w14:textFill>
                  <w14:solidFill>
                    <w14:schemeClr w14:val="tx1"/>
                  </w14:solidFill>
                </w14:textFill>
              </w:rPr>
              <w:fldChar w:fldCharType="end"/>
            </w:r>
          </w:p>
        </w:tc>
      </w:tr>
      <w:tr w14:paraId="2554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3C52D05C">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687DF7CC">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28523393">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479CCEAC">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6DFF38CD">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（4）较强的英语沟通能力，雅思托福达到欧洲要求b2以上</w:t>
            </w:r>
          </w:p>
        </w:tc>
      </w:tr>
      <w:tr w14:paraId="153C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370D286">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76644125">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Pr>
                <w:rFonts w:ascii="仿宋" w:hAnsi="仿宋" w:eastAsia="仿宋" w:cs="宋体"/>
                <w:color w:val="000000" w:themeColor="text1"/>
                <w:sz w:val="24"/>
                <w:shd w:val="clear" w:color="auto" w:fill="FFFFFF"/>
                <w14:textFill>
                  <w14:solidFill>
                    <w14:schemeClr w14:val="tx1"/>
                  </w14:solidFill>
                </w14:textFill>
              </w:rPr>
              <w:t>F</w:t>
            </w:r>
            <w:r>
              <w:rPr>
                <w:rFonts w:hint="eastAsia" w:ascii="仿宋" w:hAnsi="仿宋" w:eastAsia="仿宋" w:cs="宋体"/>
                <w:color w:val="000000" w:themeColor="text1"/>
                <w:sz w:val="24"/>
                <w:shd w:val="clear" w:color="auto" w:fill="FFFFFF"/>
                <w14:textFill>
                  <w14:solidFill>
                    <w14:schemeClr w14:val="tx1"/>
                  </w14:solidFill>
                </w14:textFill>
              </w:rPr>
              <w:t>aculty of EE）是该领域全球五大研发和教学机构之一。电力牵引与控制是捷克技术大学教学和科研的强项学科。</w:t>
            </w:r>
          </w:p>
        </w:tc>
      </w:tr>
      <w:tr w14:paraId="6FD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7A39EBDC">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0704E8B3">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1110D39C">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3174236C">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2BC09D25">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678DEBFF">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74DB30C6">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095D1BD5">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2733045F">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07D01ACD">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14:paraId="3A232065">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5" w:name="_Toc9395"/>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英国利物浦</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25"/>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14:paraId="0BD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61" w:type="dxa"/>
          </w:tcPr>
          <w:p w14:paraId="5ADC43D3">
            <w:pPr>
              <w:pStyle w:val="27"/>
              <w:widowControl/>
              <w:rPr>
                <w:rFonts w:ascii="仿宋" w:hAnsi="仿宋" w:eastAsia="仿宋" w:cs="宋体"/>
                <w:color w:val="000000" w:themeColor="text1"/>
                <w14:textFill>
                  <w14:solidFill>
                    <w14:schemeClr w14:val="tx1"/>
                  </w14:solidFill>
                </w14:textFill>
              </w:rPr>
            </w:pPr>
            <w:bookmarkStart w:id="26" w:name="_Hlk24745797"/>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14:paraId="2679C8F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选拔优秀本科生赴</w:t>
            </w:r>
            <w:r>
              <w:rPr>
                <w:rFonts w:hint="eastAsia" w:ascii="仿宋" w:hAnsi="仿宋" w:eastAsia="仿宋" w:cs="宋体"/>
                <w:color w:val="000000" w:themeColor="text1"/>
                <w:spacing w:val="15"/>
                <w:lang w:val="en-US" w:eastAsia="zh-CN"/>
                <w14:textFill>
                  <w14:solidFill>
                    <w14:schemeClr w14:val="tx1"/>
                  </w14:solidFill>
                </w14:textFill>
              </w:rPr>
              <w:t>利物浦</w:t>
            </w:r>
            <w:r>
              <w:rPr>
                <w:rFonts w:hint="eastAsia" w:ascii="仿宋" w:hAnsi="仿宋" w:eastAsia="仿宋" w:cs="宋体"/>
                <w:color w:val="000000" w:themeColor="text1"/>
                <w:spacing w:val="15"/>
                <w14:textFill>
                  <w14:solidFill>
                    <w14:schemeClr w14:val="tx1"/>
                  </w14:solidFill>
                </w14:textFill>
              </w:rPr>
              <w:t>大学进行学习。学习结束后，学生可将相关学分转换回我校</w:t>
            </w:r>
          </w:p>
        </w:tc>
      </w:tr>
      <w:tr w14:paraId="19EB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754C750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14:paraId="229389E4">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专业不限，有对应课程即可报名</w:t>
            </w:r>
          </w:p>
        </w:tc>
      </w:tr>
      <w:tr w14:paraId="05FA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73F72604">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14:paraId="5F5201B6">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31B2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002276E5">
            <w:pPr>
              <w:pStyle w:val="27"/>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14:paraId="17D28378">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2人，</w:t>
            </w:r>
            <w:r>
              <w:rPr>
                <w:rFonts w:hint="eastAsia" w:ascii="仿宋" w:hAnsi="仿宋" w:eastAsia="仿宋" w:cs="宋体"/>
                <w:color w:val="000000" w:themeColor="text1"/>
                <w14:textFill>
                  <w14:solidFill>
                    <w14:schemeClr w14:val="tx1"/>
                  </w14:solidFill>
                </w14:textFill>
              </w:rPr>
              <w:t>择优录取</w:t>
            </w:r>
          </w:p>
        </w:tc>
      </w:tr>
      <w:tr w14:paraId="2B5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3A088D7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14:paraId="5D8A501B">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14:paraId="43F5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3AD6F23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14:paraId="779D855E">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9650英镑(学期)，17700英镑(全年)。</w:t>
            </w:r>
          </w:p>
          <w:p w14:paraId="7873327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来自合作伙伴的学生可享受10%的学费折扣，即8685英镑(学期)，15930英镑(全年)。</w:t>
            </w:r>
          </w:p>
        </w:tc>
      </w:tr>
      <w:tr w14:paraId="50B0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209CF9DC">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14:paraId="033CB1E1">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1.热爱祖国，具有良好的政治思想素质，在校期间无违法违纪记录</w:t>
            </w:r>
          </w:p>
          <w:p w14:paraId="216B24AA">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2.身心健康，无不适合在外学习的疾病史</w:t>
            </w:r>
          </w:p>
          <w:p w14:paraId="42108B08">
            <w:pPr>
              <w:pStyle w:val="27"/>
              <w:widowControl/>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3.品学兼优，学习成绩排名前列，综合表现突出，GPA不低于3.0</w:t>
            </w:r>
          </w:p>
        </w:tc>
      </w:tr>
      <w:tr w14:paraId="7331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3DF49A1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14:paraId="4A0FEB03">
            <w:pP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利物浦大学（University of Liverpool），始建于1881年，位于英国利物浦，是一所公立研究型大学。英国利物浦是一所美丽的港口城市，在英格兰西北部，人口439476。距伦敦189英里，曼彻斯特28英里，格拉斯哥213英里。利物浦大学是红砖大学之一、罗素大学集团创始成员。该校校友及学术人员中共有10位诺贝尔奖得主。利物浦大学在2023年软科世界大学学术排名中全英排名位列9-12名，世界大学排名位列101-150名，在2024年USNEWS世界大学排名中位列146名，在2024年泰晤士高等教育世界大学排名中位列168名，在2024年QS世界大学排名中位列176名。</w:t>
            </w:r>
          </w:p>
        </w:tc>
      </w:tr>
      <w:tr w14:paraId="36E6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7859B37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14:paraId="3E7B731E">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北京校部</w:t>
            </w:r>
          </w:p>
          <w:p w14:paraId="0A0D523E">
            <w:pP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w:t>
            </w:r>
            <w: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t>任楚颐</w:t>
            </w:r>
          </w:p>
          <w:p w14:paraId="0F865FFD">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电话：010-61772342</w:t>
            </w:r>
          </w:p>
          <w:p w14:paraId="5DC9D0F0">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地点：主D837</w:t>
            </w:r>
          </w:p>
          <w:p w14:paraId="76EC8037">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保定校区</w:t>
            </w:r>
          </w:p>
          <w:p w14:paraId="602B28A9">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联系人：赵乔</w:t>
            </w:r>
          </w:p>
          <w:p w14:paraId="2D3D8FD8">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电话：0312-7522348</w:t>
            </w:r>
          </w:p>
          <w:p w14:paraId="6599DC30">
            <w:pPr>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地址：综合楼710</w:t>
            </w:r>
          </w:p>
        </w:tc>
      </w:tr>
      <w:bookmarkEnd w:id="26"/>
    </w:tbl>
    <w:p w14:paraId="0B5180F7">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7" w:name="OLE_LINK16"/>
    </w:p>
    <w:p w14:paraId="4345A0F6">
      <w:pPr>
        <w:pStyle w:val="4"/>
        <w:jc w:val="both"/>
        <w:rPr>
          <w:rFonts w:hint="eastAsia" w:ascii="仿宋" w:hAnsi="仿宋" w:eastAsia="仿宋"/>
          <w:color w:val="404040" w:themeColor="text1" w:themeTint="BF"/>
          <w:sz w:val="36"/>
          <w:szCs w:val="36"/>
          <w:lang w:eastAsia="zh-CN"/>
          <w14:textFill>
            <w14:solidFill>
              <w14:schemeClr w14:val="tx1">
                <w14:lumMod w14:val="75000"/>
                <w14:lumOff w14:val="25000"/>
              </w14:schemeClr>
            </w14:solidFill>
          </w14:textFill>
        </w:rPr>
      </w:pPr>
    </w:p>
    <w:p w14:paraId="0D6F9A3D">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3C39DC77">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8" w:name="_Toc18893"/>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美国威斯康星大学密尔沃基分校（毕业设计项目）</w:t>
      </w:r>
      <w:bookmarkEnd w:id="27"/>
      <w:bookmarkEnd w:id="2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6778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4774B8C7">
            <w:pPr>
              <w:pStyle w:val="27"/>
              <w:widowControl/>
              <w:rPr>
                <w:rFonts w:ascii="仿宋" w:hAnsi="仿宋" w:eastAsia="仿宋" w:cs="宋体"/>
                <w:color w:val="000000" w:themeColor="text1"/>
                <w14:textFill>
                  <w14:solidFill>
                    <w14:schemeClr w14:val="tx1"/>
                  </w14:solidFill>
                </w14:textFill>
              </w:rPr>
            </w:pPr>
          </w:p>
          <w:p w14:paraId="262B8CC8">
            <w:pPr>
              <w:pStyle w:val="27"/>
              <w:widowControl/>
              <w:rPr>
                <w:rFonts w:ascii="仿宋" w:hAnsi="仿宋" w:eastAsia="仿宋" w:cs="宋体"/>
                <w:color w:val="000000" w:themeColor="text1"/>
                <w14:textFill>
                  <w14:solidFill>
                    <w14:schemeClr w14:val="tx1"/>
                  </w14:solidFill>
                </w14:textFill>
              </w:rPr>
            </w:pPr>
          </w:p>
          <w:p w14:paraId="44D393C5">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14:paraId="17F273DE">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（1）1月底 -5月底在美国威斯康星大学密尔沃基分校完成毕业设计，同时可在该校选择一门课程进行学习。</w:t>
            </w:r>
          </w:p>
          <w:p w14:paraId="4F26FE2C">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（2）5月底在美国威斯康星大学密尔沃基分校进行毕业论文答辩，答辩通过后将获得该校的论文成绩及学分，可转换为我校毕业论文的成绩与学分。所有参加项目的同学须回华电进行毕业论文答辩。</w:t>
            </w:r>
          </w:p>
        </w:tc>
      </w:tr>
      <w:tr w14:paraId="565E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14:paraId="384B7C7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14:paraId="39CD1EEE">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w:t>
            </w:r>
            <w:r>
              <w:rPr>
                <w:rFonts w:hint="eastAsia" w:ascii="仿宋" w:hAnsi="仿宋" w:eastAsia="仿宋" w:cs="宋体"/>
              </w:rPr>
              <w:t>子工程学院、能源动力与机械工程学院、控制与计算机工程学院、</w:t>
            </w:r>
            <w:r>
              <w:rPr>
                <w:rFonts w:hint="eastAsia" w:ascii="仿宋" w:hAnsi="仿宋" w:eastAsia="仿宋" w:cs="宋体"/>
                <w:lang w:eastAsia="zh-Hans"/>
              </w:rPr>
              <w:t>新</w:t>
            </w:r>
            <w:r>
              <w:rPr>
                <w:rFonts w:hint="eastAsia" w:ascii="仿宋" w:hAnsi="仿宋" w:eastAsia="仿宋" w:cs="宋体"/>
              </w:rPr>
              <w:t>能源学院</w:t>
            </w:r>
          </w:p>
        </w:tc>
      </w:tr>
      <w:tr w14:paraId="16B9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89A40BA">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14:paraId="1023CA41">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申请时为大四全日制在读本科生</w:t>
            </w:r>
          </w:p>
        </w:tc>
      </w:tr>
      <w:tr w14:paraId="6B4D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A570AD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14:paraId="524C375A">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自费不限</w:t>
            </w:r>
          </w:p>
        </w:tc>
      </w:tr>
      <w:tr w14:paraId="5333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BA90E30">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14:paraId="5970AFF4">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1学期（大四下）</w:t>
            </w:r>
          </w:p>
        </w:tc>
      </w:tr>
      <w:tr w14:paraId="09F8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5B6F42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14:paraId="393BD53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学费约7000美金/学期</w:t>
            </w:r>
          </w:p>
        </w:tc>
      </w:tr>
      <w:tr w14:paraId="1454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00281B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14:paraId="405924AE">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1D8A6844">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32FE0831">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（3）现就读年级为大四。（这里网站和表格不太一致，表格是现就读年级为大三，网站上是大四学生）</w:t>
            </w:r>
            <w:r>
              <w:fldChar w:fldCharType="begin"/>
            </w:r>
            <w:r>
              <w:instrText xml:space="preserve"> HYPERLINK "https://icd.ncepu.edu.cn/tzgg/a59d6cfc2d5e4340b88c1b900571c292.htm" </w:instrText>
            </w:r>
            <w:r>
              <w:fldChar w:fldCharType="separate"/>
            </w:r>
            <w:r>
              <w:rPr>
                <w:rStyle w:val="35"/>
                <w:rFonts w:hint="eastAsia" w:ascii="仿宋" w:hAnsi="仿宋" w:eastAsia="仿宋" w:cs="宋体"/>
                <w:color w:val="000000" w:themeColor="text1"/>
                <w14:textFill>
                  <w14:solidFill>
                    <w14:schemeClr w14:val="tx1"/>
                  </w14:solidFill>
                </w14:textFill>
              </w:rPr>
              <w:t>https://icd.ncepu.edu.cn/tzgg/a59d6cfc2d5e4340b88c1b900571c292.htm</w:t>
            </w:r>
            <w:r>
              <w:rPr>
                <w:rStyle w:val="35"/>
                <w:rFonts w:hint="eastAsia" w:ascii="仿宋" w:hAnsi="仿宋" w:eastAsia="仿宋" w:cs="宋体"/>
                <w:color w:val="000000" w:themeColor="text1"/>
                <w14:textFill>
                  <w14:solidFill>
                    <w14:schemeClr w14:val="tx1"/>
                  </w14:solidFill>
                </w14:textFill>
              </w:rPr>
              <w:fldChar w:fldCharType="end"/>
            </w:r>
          </w:p>
          <w:p w14:paraId="3C60B44B">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（4）提供雅思或托福成绩或通过对方的语言面试。</w:t>
            </w:r>
          </w:p>
        </w:tc>
      </w:tr>
      <w:tr w14:paraId="38AB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64F70525">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交流院系介绍</w:t>
            </w:r>
          </w:p>
        </w:tc>
        <w:tc>
          <w:tcPr>
            <w:tcW w:w="6515" w:type="dxa"/>
            <w:vAlign w:val="center"/>
          </w:tcPr>
          <w:p w14:paraId="5E68789B">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美国威斯康星大学密尔沃基分校(University of Wisconsin-Milwaukee, UWM, UW-Milwaukee) 是美国威斯康星大学体系中两所可授予博士学位的综合研究型大学之一、美国八十所具有研究生院的研究型大学之一。</w:t>
            </w:r>
          </w:p>
          <w:p w14:paraId="2C769672">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威斯康星大学密尔沃基分校在美国公立大学在国家研究理事会(NRC)排名中排名72，是美国大学先锋排行榜的100所大学之一</w:t>
            </w:r>
            <w:r>
              <w:rPr>
                <w:rFonts w:hint="eastAsia" w:ascii="仿宋" w:hAnsi="仿宋" w:eastAsia="仿宋" w:cs="宋体"/>
                <w:color w:val="000000" w:themeColor="text1"/>
                <w:sz w:val="24"/>
                <w:shd w:val="clear" w:color="auto" w:fill="FFFFFF"/>
                <w:lang w:eastAsia="zh-CN"/>
                <w14:textFill>
                  <w14:solidFill>
                    <w14:schemeClr w14:val="tx1"/>
                  </w14:solidFill>
                </w14:textFill>
              </w:rPr>
              <w:t>。</w:t>
            </w:r>
            <w:r>
              <w:rPr>
                <w:rFonts w:hint="eastAsia" w:ascii="仿宋" w:hAnsi="仿宋" w:eastAsia="仿宋" w:cs="宋体"/>
                <w:color w:val="000000" w:themeColor="text1"/>
                <w:sz w:val="24"/>
                <w:shd w:val="clear" w:color="auto" w:fill="FFFFFF"/>
                <w14:textFill>
                  <w14:solidFill>
                    <w14:schemeClr w14:val="tx1"/>
                  </w14:solidFill>
                </w14:textFill>
              </w:rPr>
              <w:t>在2011法国国立巴黎高等矿业学校(EMP)基于《财富》杂志发布的各校毕业生在世界500强企业中担任首席执行官或与之相当职位的人数指标进行的世界大学排名中，该校名列第98位。</w:t>
            </w:r>
          </w:p>
          <w:p w14:paraId="7FDD716D">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管理信息系统被通信信息系统协会评为全美第19，全世界第24。组织和战略管理被德克萨斯A&amp;M大学和佛罗里达大学的联合研究排名为全世界第32。2006-2008，卢巴商学院的被评为世界前100名。</w:t>
            </w:r>
          </w:p>
        </w:tc>
      </w:tr>
      <w:tr w14:paraId="6635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985" w:type="dxa"/>
          </w:tcPr>
          <w:p w14:paraId="6BD83E7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14:paraId="39E73F3C">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北京校部</w:t>
            </w:r>
          </w:p>
          <w:p w14:paraId="10431256">
            <w:pPr>
              <w:tabs>
                <w:tab w:val="left" w:pos="2428"/>
              </w:tabs>
              <w:rPr>
                <w:rFonts w:hint="eastAsia" w:ascii="仿宋" w:hAnsi="仿宋" w:eastAsia="仿宋" w:cs="宋体"/>
                <w:color w:val="000000" w:themeColor="text1"/>
                <w:sz w:val="24"/>
                <w:shd w:val="clear" w:color="auto" w:fill="FFFFFF"/>
                <w:lang w:eastAsia="zh-Hans"/>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联系人：</w:t>
            </w:r>
            <w:r>
              <w:rPr>
                <w:rFonts w:hint="eastAsia" w:ascii="仿宋" w:hAnsi="仿宋" w:eastAsia="仿宋" w:cs="宋体"/>
                <w:color w:val="000000" w:themeColor="text1"/>
                <w:sz w:val="24"/>
                <w:shd w:val="clear" w:color="auto" w:fill="FFFFFF"/>
                <w:lang w:eastAsia="zh-Hans"/>
                <w14:textFill>
                  <w14:solidFill>
                    <w14:schemeClr w14:val="tx1"/>
                  </w14:solidFill>
                </w14:textFill>
              </w:rPr>
              <w:t>任楚颐</w:t>
            </w:r>
          </w:p>
          <w:p w14:paraId="7F9C707D">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电话：010-6177</w:t>
            </w:r>
            <w:r>
              <w:rPr>
                <w:rFonts w:hint="eastAsia" w:ascii="仿宋" w:hAnsi="仿宋" w:eastAsia="仿宋" w:cs="宋体"/>
                <w:color w:val="000000" w:themeColor="text1"/>
                <w:sz w:val="24"/>
                <w:shd w:val="clear" w:color="auto" w:fill="FFFFFF"/>
                <w:lang w:eastAsia="zh-CN"/>
                <w14:textFill>
                  <w14:solidFill>
                    <w14:schemeClr w14:val="tx1"/>
                  </w14:solidFill>
                </w14:textFill>
              </w:rPr>
              <w:t>2342</w:t>
            </w:r>
          </w:p>
          <w:p w14:paraId="59ED9BF1">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地点：主D837</w:t>
            </w:r>
          </w:p>
          <w:p w14:paraId="3655E3E2">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保定校区</w:t>
            </w:r>
          </w:p>
          <w:p w14:paraId="5C881A42">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联系人：</w:t>
            </w:r>
            <w:r>
              <w:rPr>
                <w:rFonts w:hint="eastAsia" w:ascii="仿宋" w:hAnsi="仿宋" w:eastAsia="仿宋" w:cs="宋体"/>
                <w:color w:val="000000" w:themeColor="text1"/>
                <w:sz w:val="24"/>
                <w:shd w:val="clear" w:color="auto" w:fill="FFFFFF"/>
                <w:lang w:eastAsia="zh-CN"/>
                <w14:textFill>
                  <w14:solidFill>
                    <w14:schemeClr w14:val="tx1"/>
                  </w14:solidFill>
                </w14:textFill>
              </w:rPr>
              <w:t>赵乔</w:t>
            </w:r>
          </w:p>
          <w:p w14:paraId="421D32AD">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电话：</w:t>
            </w:r>
            <w:r>
              <w:rPr>
                <w:rFonts w:hint="eastAsia" w:ascii="仿宋" w:hAnsi="仿宋" w:eastAsia="仿宋" w:cs="宋体"/>
                <w:color w:val="000000" w:themeColor="text1"/>
                <w:sz w:val="24"/>
                <w:shd w:val="clear" w:color="auto" w:fill="FFFFFF"/>
                <w:lang w:eastAsia="zh-CN"/>
                <w14:textFill>
                  <w14:solidFill>
                    <w14:schemeClr w14:val="tx1"/>
                  </w14:solidFill>
                </w14:textFill>
              </w:rPr>
              <w:t>0312-7522348</w:t>
            </w:r>
          </w:p>
          <w:p w14:paraId="5A3FC1CA">
            <w:pPr>
              <w:tabs>
                <w:tab w:val="left" w:pos="2428"/>
              </w:tabs>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地址：</w:t>
            </w:r>
            <w:r>
              <w:rPr>
                <w:rFonts w:hint="eastAsia" w:ascii="仿宋" w:hAnsi="仿宋" w:eastAsia="仿宋" w:cs="宋体"/>
                <w:color w:val="000000" w:themeColor="text1"/>
                <w:sz w:val="24"/>
                <w:shd w:val="clear" w:color="auto" w:fill="FFFFFF"/>
                <w:lang w:eastAsia="zh-CN"/>
                <w14:textFill>
                  <w14:solidFill>
                    <w14:schemeClr w14:val="tx1"/>
                  </w14:solidFill>
                </w14:textFill>
              </w:rPr>
              <w:t>综合楼710</w:t>
            </w:r>
          </w:p>
        </w:tc>
      </w:tr>
    </w:tbl>
    <w:p w14:paraId="5567007C">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29" w:name="_Toc145063064"/>
    </w:p>
    <w:bookmarkEnd w:id="29"/>
    <w:p w14:paraId="0613031B">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0" w:name="_Toc2940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美国密歇根大学德尔本校区</w:t>
      </w:r>
      <w:bookmarkEnd w:id="3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27D8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5" w:type="dxa"/>
          </w:tcPr>
          <w:p w14:paraId="79BFBF4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14:paraId="1EE177A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美国密歇根大学德尔本校区3+1+1项目，及本科交流交换项目</w:t>
            </w:r>
          </w:p>
        </w:tc>
      </w:tr>
      <w:tr w14:paraId="0725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75E00D97">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6E502BD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选拔优秀本科生赴美国密歇根州立大学德尔本校区进行学习。学习为期一学期，学年结束时，可获得华北电力大学毕业证及学士学位。成绩优秀的同学可以继续攻读硕士。</w:t>
            </w:r>
          </w:p>
        </w:tc>
      </w:tr>
      <w:tr w14:paraId="27A0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67969C0">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3A0BABDC">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14:paraId="235C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9647589">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622A5145">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5E9D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AE926B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640BC41A">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187D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F388F82">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46A7F32C">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14:paraId="46FB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62704D1">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4FD2D41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14:paraId="358F890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14:paraId="63C031F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14:paraId="6842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CF407A6">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78347E68">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5BFB09D8">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55F4F1D9">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14:paraId="77B32114">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14:paraId="4C8D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32F1C2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732329BA">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w:t>
            </w:r>
          </w:p>
        </w:tc>
      </w:tr>
      <w:tr w14:paraId="4250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1985" w:type="dxa"/>
          </w:tcPr>
          <w:p w14:paraId="4A8FFF8C">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14:paraId="5EA411B0">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372F3A1F">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60025DAB">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1F2F06E7">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46697AAC">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224E040A">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14825774">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36D05880">
            <w:pPr>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59A0675F">
      <w:pPr>
        <w:pStyle w:val="4"/>
        <w:ind w:firstLine="361" w:firstLineChars="100"/>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54C0DCDE">
      <w:pPr>
        <w:pStyle w:val="4"/>
        <w:ind w:firstLine="361" w:firstLineChars="100"/>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1" w:name="_Toc2994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美国普渡大学西北校区</w:t>
      </w:r>
      <w:bookmarkEnd w:id="31"/>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14:paraId="6D2FDABB">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30339AA3">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14:paraId="5F8BD6BE">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14:paraId="63D8DC87">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181044C9">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14:paraId="44092BC1">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14:paraId="743F66F1">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198CC25A">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14:paraId="1F21580F">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14:paraId="0A0ED4F5">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7B21F42B">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14:paraId="7E91D144">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14:paraId="087A9C8F">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00277CB2">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14:paraId="27F563BC">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成绩优异同学可继续申请研究生</w:t>
            </w:r>
          </w:p>
        </w:tc>
      </w:tr>
      <w:tr w14:paraId="6C99A9DD">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16" w:hRule="atLeast"/>
        </w:trPr>
        <w:tc>
          <w:tcPr>
            <w:tcW w:w="2004" w:type="dxa"/>
            <w:vAlign w:val="center"/>
          </w:tcPr>
          <w:p w14:paraId="7703BF1E">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14:paraId="04DC73A6">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14:paraId="14041058">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14:paraId="44067F4F">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2613CBEF">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14:paraId="19810DCC">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14:paraId="39FFAA2F">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14:paraId="775F2F1B">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14:paraId="7400C66D">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14:paraId="2D595E5F">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14:paraId="7722E4E7">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60EAF626">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14:paraId="78614337">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30D5BA1F">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57825D63">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59DD45B1">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5D5B272B">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09CE078C">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4162746D">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386B5261">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6A9ADD17">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09C9D312">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7A91C1C1">
      <w:pPr>
        <w:pStyle w:val="4"/>
        <w:jc w:val="center"/>
        <w:rPr>
          <w:rFonts w:hint="default"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bookmarkStart w:id="32" w:name="_Toc2543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w:t>
      </w: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加州大学河滨分校</w:t>
      </w:r>
      <w:bookmarkEnd w:id="32"/>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14:paraId="50DBA043">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6877F42C">
            <w:pPr>
              <w:pStyle w:val="27"/>
              <w:widowControl/>
              <w:rPr>
                <w:rFonts w:ascii="仿宋" w:hAnsi="仿宋" w:eastAsia="仿宋" w:cs="宋体"/>
                <w:color w:val="auto"/>
              </w:rPr>
            </w:pPr>
            <w:r>
              <w:rPr>
                <w:rFonts w:hint="eastAsia" w:ascii="仿宋" w:hAnsi="仿宋" w:eastAsia="仿宋" w:cs="宋体"/>
                <w:b/>
                <w:color w:val="auto"/>
              </w:rPr>
              <w:t>项目内容</w:t>
            </w:r>
          </w:p>
        </w:tc>
        <w:tc>
          <w:tcPr>
            <w:tcW w:w="6491" w:type="dxa"/>
            <w:vAlign w:val="center"/>
          </w:tcPr>
          <w:p w14:paraId="4C247C84">
            <w:pPr>
              <w:ind w:firstLine="480" w:firstLineChars="200"/>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加州大学河滨分校研究生准备项目（GPP）是一个创建于</w:t>
            </w:r>
            <w:r>
              <w:rPr>
                <w:rFonts w:hint="default" w:ascii="仿宋" w:hAnsi="仿宋" w:eastAsia="仿宋" w:cs="宋体"/>
                <w:color w:val="auto"/>
                <w:sz w:val="24"/>
                <w:lang w:val="en-US" w:eastAsia="zh-CN"/>
              </w:rPr>
              <w:t>2013</w:t>
            </w:r>
            <w:r>
              <w:rPr>
                <w:rFonts w:hint="eastAsia" w:ascii="仿宋" w:hAnsi="仿宋" w:eastAsia="仿宋" w:cs="宋体"/>
                <w:color w:val="auto"/>
                <w:sz w:val="24"/>
                <w:lang w:val="en-US" w:eastAsia="zh-CN"/>
              </w:rPr>
              <w:t>年的独特定制项目，旨在为学生提供在一所前沿美国研究型大学进行深入学习的机会。该计划允许已经完成大三学业的学生在加州大学河滨分校完成他们的第四年或最后一年（</w:t>
            </w:r>
            <w:r>
              <w:rPr>
                <w:rFonts w:hint="default" w:ascii="仿宋" w:hAnsi="仿宋" w:eastAsia="仿宋" w:cs="宋体"/>
                <w:color w:val="auto"/>
                <w:sz w:val="24"/>
                <w:lang w:val="en-US" w:eastAsia="zh-CN"/>
              </w:rPr>
              <w:t>3+1</w:t>
            </w:r>
            <w:r>
              <w:rPr>
                <w:rFonts w:hint="eastAsia" w:ascii="仿宋" w:hAnsi="仿宋" w:eastAsia="仿宋" w:cs="宋体"/>
                <w:color w:val="auto"/>
                <w:sz w:val="24"/>
                <w:lang w:val="en-US" w:eastAsia="zh-CN"/>
              </w:rPr>
              <w:t>），并在录取后提供更多机会以获得硕士或博士学位。</w:t>
            </w:r>
          </w:p>
          <w:p w14:paraId="60CDF8D0">
            <w:pPr>
              <w:ind w:firstLine="480" w:firstLineChars="200"/>
              <w:jc w:val="left"/>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GPP学生通过申请可在</w:t>
            </w:r>
            <w:r>
              <w:rPr>
                <w:rFonts w:hint="default" w:ascii="仿宋" w:hAnsi="仿宋" w:eastAsia="仿宋" w:cs="宋体"/>
                <w:color w:val="auto"/>
                <w:sz w:val="24"/>
                <w:lang w:val="en-US" w:eastAsia="zh-CN"/>
              </w:rPr>
              <w:t>UCR</w:t>
            </w:r>
            <w:r>
              <w:rPr>
                <w:rFonts w:hint="eastAsia" w:ascii="仿宋" w:hAnsi="仿宋" w:eastAsia="仿宋" w:cs="宋体"/>
                <w:color w:val="auto"/>
                <w:sz w:val="24"/>
                <w:lang w:val="en-US" w:eastAsia="zh-CN"/>
              </w:rPr>
              <w:t>完成一年大四的学习。完成学业后，将</w:t>
            </w:r>
            <w:r>
              <w:rPr>
                <w:rFonts w:hint="default" w:ascii="仿宋" w:hAnsi="仿宋" w:eastAsia="仿宋" w:cs="宋体"/>
                <w:color w:val="auto"/>
                <w:sz w:val="24"/>
                <w:lang w:val="en-US" w:eastAsia="zh-CN"/>
              </w:rPr>
              <w:t>UCR</w:t>
            </w:r>
            <w:r>
              <w:rPr>
                <w:rFonts w:hint="eastAsia" w:ascii="仿宋" w:hAnsi="仿宋" w:eastAsia="仿宋" w:cs="宋体"/>
                <w:color w:val="auto"/>
                <w:sz w:val="24"/>
                <w:lang w:val="en-US" w:eastAsia="zh-CN"/>
              </w:rPr>
              <w:t xml:space="preserve">学分转回华电，获取华电颁发的大学学位及文凭。 </w:t>
            </w:r>
          </w:p>
        </w:tc>
      </w:tr>
      <w:tr w14:paraId="340177EF">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3439FE99">
            <w:pPr>
              <w:pStyle w:val="27"/>
              <w:widowControl/>
              <w:rPr>
                <w:rFonts w:ascii="仿宋" w:hAnsi="仿宋" w:eastAsia="仿宋" w:cs="宋体"/>
                <w:color w:val="auto"/>
              </w:rPr>
            </w:pPr>
            <w:r>
              <w:rPr>
                <w:rFonts w:hint="eastAsia" w:ascii="仿宋" w:hAnsi="仿宋" w:eastAsia="仿宋" w:cs="宋体"/>
                <w:b/>
                <w:color w:val="auto"/>
              </w:rPr>
              <w:t>选派专业</w:t>
            </w:r>
          </w:p>
        </w:tc>
        <w:tc>
          <w:tcPr>
            <w:tcW w:w="6491" w:type="dxa"/>
            <w:vAlign w:val="center"/>
          </w:tcPr>
          <w:p w14:paraId="1329376D">
            <w:pPr>
              <w:rPr>
                <w:rFonts w:ascii="仿宋" w:hAnsi="仿宋" w:eastAsia="仿宋" w:cs="宋体"/>
                <w:color w:val="auto"/>
                <w:sz w:val="24"/>
              </w:rPr>
            </w:pPr>
            <w:r>
              <w:rPr>
                <w:rFonts w:hint="eastAsia" w:ascii="仿宋" w:hAnsi="仿宋" w:eastAsia="仿宋" w:cs="宋体"/>
                <w:color w:val="auto"/>
                <w:sz w:val="24"/>
                <w:lang w:val="en-US" w:eastAsia="zh-CN"/>
              </w:rPr>
              <w:t>生</w:t>
            </w:r>
            <w:r>
              <w:rPr>
                <w:rFonts w:hint="eastAsia" w:ascii="仿宋" w:hAnsi="仿宋" w:eastAsia="仿宋" w:cs="仿宋"/>
                <w:color w:val="auto"/>
                <w:sz w:val="24"/>
                <w:lang w:val="en-US" w:eastAsia="zh-CN"/>
              </w:rPr>
              <w:t>物</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程，化学与环境</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程，计算机科学，计算机</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程，电子</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程，材料科学与</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程，机械</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程，计算数据科学，商科，化学，物理，数学，统计学，公共政策学</w:t>
            </w:r>
            <w:r>
              <w:rPr>
                <w:rFonts w:hint="default" w:ascii="仿宋" w:hAnsi="仿宋" w:eastAsia="仿宋" w:cs="宋体"/>
                <w:color w:val="auto"/>
                <w:sz w:val="24"/>
                <w:lang w:val="en-US" w:eastAsia="zh-CN"/>
              </w:rPr>
              <w:t xml:space="preserve"> </w:t>
            </w:r>
          </w:p>
        </w:tc>
      </w:tr>
      <w:tr w14:paraId="3087B55B">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75CD5013">
            <w:pPr>
              <w:pStyle w:val="27"/>
              <w:widowControl/>
              <w:rPr>
                <w:rFonts w:ascii="仿宋" w:hAnsi="仿宋" w:eastAsia="仿宋" w:cs="宋体"/>
                <w:color w:val="auto"/>
              </w:rPr>
            </w:pPr>
            <w:r>
              <w:rPr>
                <w:rFonts w:hint="eastAsia" w:ascii="仿宋" w:hAnsi="仿宋" w:eastAsia="仿宋" w:cs="宋体"/>
                <w:b/>
                <w:color w:val="auto"/>
              </w:rPr>
              <w:t>选派类别</w:t>
            </w:r>
          </w:p>
        </w:tc>
        <w:tc>
          <w:tcPr>
            <w:tcW w:w="6491" w:type="dxa"/>
            <w:vAlign w:val="center"/>
          </w:tcPr>
          <w:p w14:paraId="504C5602">
            <w:pPr>
              <w:rPr>
                <w:rFonts w:ascii="仿宋" w:hAnsi="仿宋" w:eastAsia="仿宋" w:cs="宋体"/>
                <w:color w:val="auto"/>
                <w:sz w:val="24"/>
              </w:rPr>
            </w:pPr>
            <w:r>
              <w:rPr>
                <w:rFonts w:hint="eastAsia" w:ascii="仿宋" w:hAnsi="仿宋" w:eastAsia="仿宋" w:cs="宋体"/>
                <w:color w:val="auto"/>
                <w:sz w:val="24"/>
              </w:rPr>
              <w:t>申请时为大三全日制在读本科生</w:t>
            </w:r>
          </w:p>
        </w:tc>
      </w:tr>
      <w:tr w14:paraId="3B6A8CAC">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63C8D4B6">
            <w:pPr>
              <w:pStyle w:val="27"/>
              <w:widowControl/>
              <w:rPr>
                <w:rFonts w:ascii="仿宋" w:hAnsi="仿宋" w:eastAsia="仿宋" w:cs="宋体"/>
                <w:color w:val="auto"/>
              </w:rPr>
            </w:pPr>
            <w:r>
              <w:rPr>
                <w:rFonts w:hint="eastAsia" w:ascii="仿宋" w:hAnsi="仿宋" w:eastAsia="仿宋" w:cs="宋体"/>
                <w:b/>
                <w:color w:val="auto"/>
              </w:rPr>
              <w:t>选派人数</w:t>
            </w:r>
          </w:p>
        </w:tc>
        <w:tc>
          <w:tcPr>
            <w:tcW w:w="6491" w:type="dxa"/>
            <w:vAlign w:val="center"/>
          </w:tcPr>
          <w:p w14:paraId="51D0A9AF">
            <w:pPr>
              <w:rPr>
                <w:rFonts w:ascii="仿宋" w:hAnsi="仿宋" w:eastAsia="仿宋" w:cs="宋体"/>
                <w:color w:val="auto"/>
                <w:sz w:val="24"/>
              </w:rPr>
            </w:pPr>
            <w:r>
              <w:rPr>
                <w:rFonts w:hint="eastAsia" w:ascii="仿宋" w:hAnsi="仿宋" w:eastAsia="仿宋" w:cs="宋体"/>
                <w:color w:val="auto"/>
                <w:sz w:val="24"/>
              </w:rPr>
              <w:t>由</w:t>
            </w:r>
            <w:r>
              <w:rPr>
                <w:rFonts w:hint="eastAsia" w:ascii="仿宋" w:hAnsi="仿宋" w:eastAsia="仿宋" w:cs="宋体"/>
                <w:color w:val="auto"/>
                <w:sz w:val="24"/>
                <w:lang w:val="en-US" w:eastAsia="zh-CN"/>
              </w:rPr>
              <w:t>加州大学河滨分校</w:t>
            </w:r>
            <w:r>
              <w:rPr>
                <w:rFonts w:hint="eastAsia" w:ascii="仿宋" w:hAnsi="仿宋" w:eastAsia="仿宋" w:cs="宋体"/>
                <w:color w:val="auto"/>
                <w:sz w:val="24"/>
              </w:rPr>
              <w:t>审理决定</w:t>
            </w:r>
          </w:p>
        </w:tc>
      </w:tr>
      <w:tr w14:paraId="7D644ADB">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629830A6">
            <w:pPr>
              <w:pStyle w:val="27"/>
              <w:widowControl/>
              <w:rPr>
                <w:rFonts w:ascii="仿宋" w:hAnsi="仿宋" w:eastAsia="仿宋" w:cs="宋体"/>
                <w:color w:val="auto"/>
              </w:rPr>
            </w:pPr>
            <w:r>
              <w:rPr>
                <w:rFonts w:hint="eastAsia" w:ascii="仿宋" w:hAnsi="仿宋" w:eastAsia="仿宋" w:cs="宋体"/>
                <w:b/>
                <w:color w:val="auto"/>
              </w:rPr>
              <w:t>交流期限</w:t>
            </w:r>
          </w:p>
        </w:tc>
        <w:tc>
          <w:tcPr>
            <w:tcW w:w="6491" w:type="dxa"/>
            <w:vAlign w:val="center"/>
          </w:tcPr>
          <w:p w14:paraId="5F18EE81">
            <w:pPr>
              <w:rPr>
                <w:rFonts w:ascii="仿宋" w:hAnsi="仿宋" w:eastAsia="仿宋" w:cs="宋体"/>
                <w:color w:val="auto"/>
                <w:sz w:val="24"/>
              </w:rPr>
            </w:pPr>
            <w:r>
              <w:rPr>
                <w:rFonts w:hint="eastAsia" w:ascii="仿宋" w:hAnsi="仿宋" w:eastAsia="仿宋" w:cs="宋体"/>
                <w:color w:val="auto"/>
                <w:sz w:val="24"/>
              </w:rPr>
              <w:t>1学年，</w:t>
            </w:r>
            <w:r>
              <w:rPr>
                <w:rFonts w:ascii="仿宋" w:hAnsi="仿宋" w:eastAsia="仿宋" w:cs="宋体"/>
                <w:color w:val="auto"/>
                <w:sz w:val="24"/>
              </w:rPr>
              <w:t>成绩优异同学可继续申请研究生</w:t>
            </w:r>
          </w:p>
        </w:tc>
      </w:tr>
      <w:tr w14:paraId="1B59562B">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16" w:hRule="atLeast"/>
        </w:trPr>
        <w:tc>
          <w:tcPr>
            <w:tcW w:w="2004" w:type="dxa"/>
            <w:vAlign w:val="center"/>
          </w:tcPr>
          <w:p w14:paraId="40E29DF0">
            <w:pPr>
              <w:pStyle w:val="27"/>
              <w:widowControl/>
              <w:rPr>
                <w:rFonts w:ascii="仿宋" w:hAnsi="仿宋" w:eastAsia="仿宋" w:cs="宋体"/>
                <w:color w:val="auto"/>
              </w:rPr>
            </w:pPr>
            <w:r>
              <w:rPr>
                <w:rFonts w:hint="eastAsia" w:ascii="仿宋" w:hAnsi="仿宋" w:eastAsia="仿宋" w:cs="宋体"/>
                <w:b/>
                <w:color w:val="auto"/>
              </w:rPr>
              <w:t>申请条件</w:t>
            </w:r>
          </w:p>
        </w:tc>
        <w:tc>
          <w:tcPr>
            <w:tcW w:w="6491" w:type="dxa"/>
            <w:vAlign w:val="center"/>
          </w:tcPr>
          <w:p w14:paraId="503DC97D">
            <w:pPr>
              <w:rPr>
                <w:rFonts w:hint="eastAsia" w:ascii="仿宋" w:hAnsi="仿宋" w:eastAsia="仿宋" w:cs="宋体"/>
                <w:color w:val="auto"/>
                <w:sz w:val="24"/>
              </w:rPr>
            </w:pPr>
            <w:r>
              <w:rPr>
                <w:rFonts w:hint="eastAsia" w:ascii="仿宋" w:hAnsi="仿宋" w:eastAsia="仿宋" w:cs="宋体"/>
                <w:color w:val="auto"/>
                <w:sz w:val="24"/>
                <w:lang w:val="en-US" w:eastAsia="zh-CN"/>
              </w:rPr>
              <w:t xml:space="preserve">1.绩点要求：GPA 3.0/4.0 </w:t>
            </w:r>
          </w:p>
          <w:p w14:paraId="718411FF">
            <w:pPr>
              <w:rPr>
                <w:rFonts w:hint="eastAsia" w:ascii="仿宋" w:hAnsi="仿宋" w:eastAsia="仿宋" w:cs="宋体"/>
                <w:color w:val="auto"/>
                <w:sz w:val="24"/>
              </w:rPr>
            </w:pPr>
            <w:r>
              <w:rPr>
                <w:rFonts w:hint="eastAsia" w:ascii="仿宋" w:hAnsi="仿宋" w:eastAsia="仿宋" w:cs="宋体"/>
                <w:color w:val="auto"/>
                <w:sz w:val="24"/>
                <w:lang w:val="en-US" w:eastAsia="zh-CN"/>
              </w:rPr>
              <w:t>2.满足以下一条英语语言要求</w:t>
            </w:r>
            <w:r>
              <w:rPr>
                <w:rFonts w:hint="default" w:ascii="仿宋" w:hAnsi="仿宋" w:eastAsia="仿宋" w:cs="宋体"/>
                <w:color w:val="auto"/>
                <w:sz w:val="24"/>
                <w:lang w:val="en-US" w:eastAsia="zh-CN"/>
              </w:rPr>
              <w:t xml:space="preserve">: </w:t>
            </w:r>
          </w:p>
          <w:p w14:paraId="69881C05">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托福 </w:t>
            </w:r>
            <w:r>
              <w:rPr>
                <w:rFonts w:hint="default" w:ascii="仿宋" w:hAnsi="仿宋" w:eastAsia="仿宋" w:cs="宋体"/>
                <w:color w:val="auto"/>
                <w:sz w:val="24"/>
                <w:lang w:val="en-US" w:eastAsia="zh-CN"/>
              </w:rPr>
              <w:t xml:space="preserve">iBT 80 </w:t>
            </w:r>
          </w:p>
          <w:p w14:paraId="13F3A1EA">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托福 </w:t>
            </w:r>
            <w:r>
              <w:rPr>
                <w:rFonts w:hint="default" w:ascii="仿宋" w:hAnsi="仿宋" w:eastAsia="仿宋" w:cs="宋体"/>
                <w:color w:val="auto"/>
                <w:sz w:val="24"/>
                <w:lang w:val="en-US" w:eastAsia="zh-CN"/>
              </w:rPr>
              <w:t xml:space="preserve">PBT 550 </w:t>
            </w:r>
          </w:p>
          <w:p w14:paraId="2A4B393B">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雅思 </w:t>
            </w:r>
            <w:r>
              <w:rPr>
                <w:rFonts w:hint="default" w:ascii="仿宋" w:hAnsi="仿宋" w:eastAsia="仿宋" w:cs="宋体"/>
                <w:color w:val="auto"/>
                <w:sz w:val="24"/>
                <w:lang w:val="en-US" w:eastAsia="zh-CN"/>
              </w:rPr>
              <w:t xml:space="preserve">6.5 </w:t>
            </w:r>
          </w:p>
          <w:p w14:paraId="282D017E">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多邻国 </w:t>
            </w:r>
            <w:r>
              <w:rPr>
                <w:rFonts w:hint="default" w:ascii="仿宋" w:hAnsi="仿宋" w:eastAsia="仿宋" w:cs="宋体"/>
                <w:color w:val="auto"/>
                <w:sz w:val="24"/>
                <w:lang w:val="en-US" w:eastAsia="zh-CN"/>
              </w:rPr>
              <w:t xml:space="preserve">100 </w:t>
            </w:r>
          </w:p>
          <w:p w14:paraId="63E650CA">
            <w:pPr>
              <w:rPr>
                <w:rFonts w:hint="default" w:ascii="仿宋" w:hAnsi="仿宋" w:eastAsia="仿宋" w:cs="宋体"/>
                <w:color w:val="auto"/>
                <w:sz w:val="24"/>
                <w:lang w:val="en-US" w:eastAsia="zh-CN"/>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大学四级</w:t>
            </w:r>
            <w:r>
              <w:rPr>
                <w:rFonts w:hint="default" w:ascii="仿宋" w:hAnsi="仿宋" w:eastAsia="仿宋" w:cs="宋体"/>
                <w:color w:val="auto"/>
                <w:sz w:val="24"/>
                <w:lang w:val="en-US" w:eastAsia="zh-CN"/>
              </w:rPr>
              <w:t xml:space="preserve">500 </w:t>
            </w:r>
            <w:r>
              <w:rPr>
                <w:rFonts w:hint="eastAsia" w:ascii="仿宋" w:hAnsi="仿宋" w:eastAsia="仿宋" w:cs="宋体"/>
                <w:color w:val="auto"/>
                <w:sz w:val="24"/>
                <w:lang w:val="en-US" w:eastAsia="zh-CN"/>
              </w:rPr>
              <w:t>或</w:t>
            </w: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大学六级 </w:t>
            </w:r>
            <w:r>
              <w:rPr>
                <w:rFonts w:hint="default" w:ascii="仿宋" w:hAnsi="仿宋" w:eastAsia="仿宋" w:cs="宋体"/>
                <w:color w:val="auto"/>
                <w:sz w:val="24"/>
                <w:lang w:val="en-US" w:eastAsia="zh-CN"/>
              </w:rPr>
              <w:t xml:space="preserve">460 </w:t>
            </w:r>
          </w:p>
          <w:p w14:paraId="62273B88">
            <w:pPr>
              <w:rPr>
                <w:rFonts w:hint="default" w:ascii="仿宋" w:hAnsi="仿宋" w:eastAsia="仿宋" w:cs="宋体"/>
                <w:color w:val="auto"/>
                <w:sz w:val="24"/>
                <w:lang w:val="en-US" w:eastAsia="zh-CN"/>
              </w:rPr>
            </w:pPr>
          </w:p>
        </w:tc>
      </w:tr>
      <w:tr w14:paraId="7ED3E114">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669DC95B">
            <w:pPr>
              <w:pStyle w:val="27"/>
              <w:widowControl/>
              <w:rPr>
                <w:rFonts w:ascii="仿宋" w:hAnsi="仿宋" w:eastAsia="仿宋" w:cs="宋体"/>
                <w:color w:val="auto"/>
              </w:rPr>
            </w:pPr>
            <w:r>
              <w:rPr>
                <w:rFonts w:hint="eastAsia" w:ascii="仿宋" w:hAnsi="仿宋" w:eastAsia="仿宋" w:cs="宋体"/>
                <w:b/>
                <w:color w:val="auto"/>
              </w:rPr>
              <w:t>所需费用</w:t>
            </w:r>
          </w:p>
        </w:tc>
        <w:tc>
          <w:tcPr>
            <w:tcW w:w="6491" w:type="dxa"/>
            <w:vAlign w:val="center"/>
          </w:tcPr>
          <w:p w14:paraId="7262B78E">
            <w:pPr>
              <w:rPr>
                <w:rFonts w:ascii="仿宋" w:hAnsi="仿宋" w:eastAsia="仿宋" w:cs="宋体"/>
                <w:color w:val="auto"/>
                <w:sz w:val="24"/>
              </w:rPr>
            </w:pPr>
            <w:r>
              <w:rPr>
                <w:rFonts w:hint="eastAsia" w:ascii="仿宋" w:hAnsi="仿宋" w:eastAsia="仿宋" w:cs="宋体"/>
                <w:color w:val="auto"/>
                <w:sz w:val="24"/>
                <w:lang w:val="en-US" w:eastAsia="zh-CN"/>
              </w:rPr>
              <w:t>GPP ⼀年学费</w:t>
            </w:r>
            <w:r>
              <w:rPr>
                <w:rFonts w:hint="default" w:ascii="仿宋" w:hAnsi="仿宋" w:eastAsia="仿宋" w:cs="宋体"/>
                <w:color w:val="auto"/>
                <w:sz w:val="24"/>
                <w:lang w:val="en-US" w:eastAsia="zh-CN"/>
              </w:rPr>
              <w:t xml:space="preserve">: $25,000 </w:t>
            </w:r>
            <w:r>
              <w:rPr>
                <w:rFonts w:hint="eastAsia" w:ascii="仿宋" w:hAnsi="仿宋" w:eastAsia="仿宋" w:cs="宋体"/>
                <w:color w:val="auto"/>
                <w:sz w:val="24"/>
                <w:lang w:val="en-US" w:eastAsia="zh-CN"/>
              </w:rPr>
              <w:t xml:space="preserve">美元 </w:t>
            </w:r>
          </w:p>
        </w:tc>
      </w:tr>
      <w:tr w14:paraId="5C4A05F2">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14:paraId="3727F21E">
            <w:pPr>
              <w:pStyle w:val="27"/>
              <w:widowControl/>
              <w:rPr>
                <w:rFonts w:ascii="仿宋" w:hAnsi="仿宋" w:eastAsia="仿宋" w:cs="宋体"/>
                <w:color w:val="auto"/>
              </w:rPr>
            </w:pPr>
            <w:r>
              <w:rPr>
                <w:rFonts w:hint="eastAsia" w:ascii="仿宋" w:hAnsi="仿宋" w:eastAsia="仿宋" w:cs="宋体"/>
                <w:b/>
                <w:color w:val="auto"/>
              </w:rPr>
              <w:t>报名咨询方式</w:t>
            </w:r>
          </w:p>
        </w:tc>
        <w:tc>
          <w:tcPr>
            <w:tcW w:w="6491" w:type="dxa"/>
            <w:vAlign w:val="center"/>
          </w:tcPr>
          <w:p w14:paraId="507F5FBE">
            <w:pPr>
              <w:rPr>
                <w:rFonts w:ascii="仿宋" w:hAnsi="仿宋" w:eastAsia="仿宋" w:cs="宋体"/>
                <w:color w:val="auto"/>
                <w:sz w:val="24"/>
              </w:rPr>
            </w:pPr>
            <w:r>
              <w:rPr>
                <w:rFonts w:hint="eastAsia" w:ascii="仿宋" w:hAnsi="仿宋" w:eastAsia="仿宋" w:cs="宋体"/>
                <w:color w:val="auto"/>
                <w:sz w:val="24"/>
              </w:rPr>
              <w:t>北京校部</w:t>
            </w:r>
          </w:p>
          <w:p w14:paraId="1754779A">
            <w:pPr>
              <w:rPr>
                <w:rFonts w:ascii="仿宋" w:hAnsi="仿宋" w:eastAsia="仿宋" w:cs="宋体"/>
                <w:color w:val="auto"/>
                <w:sz w:val="24"/>
                <w:lang w:eastAsia="zh-Hans"/>
              </w:rPr>
            </w:pPr>
            <w:r>
              <w:rPr>
                <w:rFonts w:hint="eastAsia" w:ascii="仿宋" w:hAnsi="仿宋" w:eastAsia="仿宋" w:cs="宋体"/>
                <w:color w:val="auto"/>
                <w:sz w:val="24"/>
              </w:rPr>
              <w:t>联系人：</w:t>
            </w:r>
            <w:r>
              <w:rPr>
                <w:rFonts w:hint="eastAsia" w:ascii="仿宋" w:hAnsi="仿宋" w:eastAsia="仿宋" w:cs="宋体"/>
                <w:color w:val="auto"/>
                <w:sz w:val="24"/>
                <w:lang w:eastAsia="zh-Hans"/>
              </w:rPr>
              <w:t>任楚颐</w:t>
            </w:r>
          </w:p>
          <w:p w14:paraId="6B6F8E40">
            <w:pPr>
              <w:rPr>
                <w:rFonts w:hint="eastAsia" w:ascii="仿宋" w:hAnsi="仿宋" w:eastAsia="仿宋" w:cs="宋体"/>
                <w:color w:val="auto"/>
                <w:sz w:val="24"/>
                <w:lang w:eastAsia="zh-CN"/>
              </w:rPr>
            </w:pPr>
            <w:r>
              <w:rPr>
                <w:rFonts w:hint="eastAsia" w:ascii="仿宋" w:hAnsi="仿宋" w:eastAsia="仿宋" w:cs="宋体"/>
                <w:color w:val="auto"/>
                <w:sz w:val="24"/>
              </w:rPr>
              <w:t>电话：010-6177</w:t>
            </w:r>
            <w:r>
              <w:rPr>
                <w:rFonts w:hint="eastAsia" w:ascii="仿宋" w:hAnsi="仿宋" w:eastAsia="仿宋" w:cs="宋体"/>
                <w:color w:val="auto"/>
                <w:sz w:val="24"/>
                <w:lang w:eastAsia="zh-CN"/>
              </w:rPr>
              <w:t>2342</w:t>
            </w:r>
          </w:p>
          <w:p w14:paraId="5627D852">
            <w:pPr>
              <w:rPr>
                <w:rFonts w:hint="eastAsia" w:ascii="仿宋" w:hAnsi="仿宋" w:eastAsia="仿宋" w:cs="宋体"/>
                <w:color w:val="auto"/>
                <w:sz w:val="24"/>
              </w:rPr>
            </w:pPr>
            <w:r>
              <w:rPr>
                <w:rFonts w:hint="eastAsia" w:ascii="仿宋" w:hAnsi="仿宋" w:eastAsia="仿宋" w:cs="宋体"/>
                <w:color w:val="auto"/>
                <w:sz w:val="24"/>
              </w:rPr>
              <w:t>地点：主D837</w:t>
            </w:r>
          </w:p>
          <w:p w14:paraId="4E23E2E4">
            <w:pPr>
              <w:rPr>
                <w:rFonts w:ascii="仿宋" w:hAnsi="仿宋" w:eastAsia="仿宋" w:cs="宋体"/>
                <w:color w:val="auto"/>
                <w:sz w:val="24"/>
              </w:rPr>
            </w:pPr>
            <w:r>
              <w:rPr>
                <w:rFonts w:hint="eastAsia" w:ascii="仿宋" w:hAnsi="仿宋" w:eastAsia="仿宋" w:cs="宋体"/>
                <w:color w:val="auto"/>
                <w:sz w:val="24"/>
              </w:rPr>
              <w:t>保定校区</w:t>
            </w:r>
          </w:p>
          <w:p w14:paraId="42826FAA">
            <w:pPr>
              <w:rPr>
                <w:rFonts w:hint="eastAsia" w:ascii="仿宋" w:hAnsi="仿宋" w:eastAsia="仿宋" w:cs="宋体"/>
                <w:color w:val="auto"/>
                <w:sz w:val="24"/>
                <w:lang w:eastAsia="zh-CN"/>
              </w:rPr>
            </w:pPr>
            <w:r>
              <w:rPr>
                <w:rFonts w:hint="eastAsia" w:ascii="仿宋" w:hAnsi="仿宋" w:eastAsia="仿宋" w:cs="宋体"/>
                <w:color w:val="auto"/>
                <w:sz w:val="24"/>
              </w:rPr>
              <w:t>联系人：</w:t>
            </w:r>
            <w:r>
              <w:rPr>
                <w:rFonts w:hint="eastAsia" w:ascii="仿宋" w:hAnsi="仿宋" w:eastAsia="仿宋" w:cs="宋体"/>
                <w:color w:val="auto"/>
                <w:sz w:val="24"/>
                <w:lang w:eastAsia="zh-CN"/>
              </w:rPr>
              <w:t>赵乔</w:t>
            </w:r>
          </w:p>
          <w:p w14:paraId="56A44B51">
            <w:pPr>
              <w:rPr>
                <w:rFonts w:hint="eastAsia" w:ascii="仿宋" w:hAnsi="仿宋" w:eastAsia="仿宋" w:cs="宋体"/>
                <w:color w:val="auto"/>
                <w:sz w:val="24"/>
                <w:lang w:eastAsia="zh-CN"/>
              </w:rPr>
            </w:pPr>
            <w:r>
              <w:rPr>
                <w:rFonts w:hint="eastAsia" w:ascii="仿宋" w:hAnsi="仿宋" w:eastAsia="仿宋" w:cs="宋体"/>
                <w:color w:val="auto"/>
                <w:sz w:val="24"/>
              </w:rPr>
              <w:t>电话：</w:t>
            </w:r>
            <w:r>
              <w:rPr>
                <w:rFonts w:hint="eastAsia" w:ascii="仿宋" w:hAnsi="仿宋" w:eastAsia="仿宋" w:cs="宋体"/>
                <w:color w:val="auto"/>
                <w:sz w:val="24"/>
                <w:lang w:eastAsia="zh-CN"/>
              </w:rPr>
              <w:t>0312-7522348</w:t>
            </w:r>
          </w:p>
          <w:p w14:paraId="377AB4A6">
            <w:pPr>
              <w:rPr>
                <w:rFonts w:hint="eastAsia" w:ascii="仿宋" w:hAnsi="仿宋" w:eastAsia="仿宋" w:cs="宋体"/>
                <w:color w:val="auto"/>
                <w:sz w:val="24"/>
                <w:lang w:eastAsia="zh-CN"/>
              </w:rPr>
            </w:pPr>
            <w:r>
              <w:rPr>
                <w:rFonts w:hint="eastAsia" w:ascii="仿宋" w:hAnsi="仿宋" w:eastAsia="仿宋" w:cs="宋体"/>
                <w:color w:val="auto"/>
                <w:sz w:val="24"/>
              </w:rPr>
              <w:t>地址：</w:t>
            </w:r>
            <w:r>
              <w:rPr>
                <w:rFonts w:hint="eastAsia" w:ascii="仿宋" w:hAnsi="仿宋" w:eastAsia="仿宋" w:cs="宋体"/>
                <w:color w:val="auto"/>
                <w:sz w:val="24"/>
                <w:lang w:eastAsia="zh-CN"/>
              </w:rPr>
              <w:t>综合楼710</w:t>
            </w:r>
          </w:p>
        </w:tc>
      </w:tr>
    </w:tbl>
    <w:p w14:paraId="547AE78C">
      <w:pPr>
        <w:pStyle w:val="4"/>
        <w:jc w:val="both"/>
        <w:rPr>
          <w:rFonts w:ascii="仿宋" w:hAnsi="仿宋" w:eastAsia="仿宋"/>
          <w:color w:val="auto"/>
          <w:sz w:val="36"/>
          <w:szCs w:val="36"/>
        </w:rPr>
      </w:pPr>
    </w:p>
    <w:p w14:paraId="43A2F361"/>
    <w:p w14:paraId="20913BD9">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5852F676">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3" w:name="_Toc1331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澳大利亚昆士兰大学</w:t>
      </w:r>
      <w:bookmarkEnd w:id="3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3C62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0A0FC8B6">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14:paraId="21CEDE7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14:paraId="1C13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8CB9F55">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14:paraId="20075741">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7E23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1E36FF1">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14:paraId="0AF6CC06">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06BF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00CD65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14:paraId="20A420D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14:paraId="72C9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D2392A1">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14:paraId="55966E35">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14:paraId="73B3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4E0DD2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14:paraId="65CD1EDE">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年均学费约为＄30672（不同学院学费不同）</w:t>
            </w:r>
          </w:p>
          <w:p w14:paraId="7974F70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请咨询昆士兰大学官网https://www.uq.edu.au</w:t>
            </w:r>
          </w:p>
        </w:tc>
      </w:tr>
      <w:tr w14:paraId="6E2E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C423136">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14:paraId="6FA74E62">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372D6226">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7D08FAF4">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4A64685A">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（4）雅思不低</w:t>
            </w:r>
            <w:r>
              <w:rPr>
                <w:rFonts w:hint="eastAsia" w:ascii="仿宋" w:hAnsi="仿宋" w:eastAsia="仿宋" w:cs="宋体"/>
                <w:shd w:val="clear" w:color="auto" w:fill="FFFFFF"/>
              </w:rPr>
              <w:t>于6</w:t>
            </w:r>
            <w:r>
              <w:rPr>
                <w:rFonts w:ascii="仿宋" w:hAnsi="仿宋" w:eastAsia="仿宋" w:cs="宋体"/>
                <w:shd w:val="clear" w:color="auto" w:fill="FFFFFF"/>
              </w:rPr>
              <w:t>.5</w:t>
            </w:r>
            <w:r>
              <w:rPr>
                <w:rFonts w:hint="eastAsia" w:ascii="仿宋" w:hAnsi="仿宋" w:eastAsia="仿宋" w:cs="宋体"/>
                <w:color w:val="000000" w:themeColor="text1"/>
                <w:shd w:val="clear" w:color="auto" w:fill="FFFFFF"/>
                <w14:textFill>
                  <w14:solidFill>
                    <w14:schemeClr w14:val="tx1"/>
                  </w14:solidFill>
                </w14:textFill>
              </w:rPr>
              <w:t>。</w:t>
            </w:r>
          </w:p>
        </w:tc>
      </w:tr>
      <w:tr w14:paraId="1D45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FDD147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申请办法</w:t>
            </w:r>
          </w:p>
        </w:tc>
        <w:tc>
          <w:tcPr>
            <w:tcW w:w="6515" w:type="dxa"/>
          </w:tcPr>
          <w:p w14:paraId="71716DF4">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14:paraId="3738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F548EC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14:paraId="392B8810">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昆士兰大学是世界著名顶尖学府、著名高等科研学府之一。澳大利亚常春藤联盟“八大名校”之一，始建于1909年，是昆士兰州第一所综合型大学，也是澳大利亚最大、最有声望的大学之一，同时还是六所砂岩学府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14:paraId="5B45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18FFBFB0">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319222DB">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571E4E33">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4D02DA96">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585C62FD">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6C0C4027">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203415F2">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70F3731A">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112F9C3D">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5CFD8DF7">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2D2892A8">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4" w:name="_Toc16592"/>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澳大利亚新南威尔士大学</w:t>
      </w:r>
      <w:bookmarkEnd w:id="34"/>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14:paraId="65C3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1" w:type="dxa"/>
          </w:tcPr>
          <w:p w14:paraId="3E59FC0D">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14:paraId="6960F121">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14:paraId="0F47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47BF1A6F">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14:paraId="3ADA9AEC">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14:paraId="4FD8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199F64F7">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14:paraId="63B78F9A">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申请时为大二或大三全日制在读本科生</w:t>
            </w:r>
          </w:p>
        </w:tc>
      </w:tr>
      <w:tr w14:paraId="514C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6457F766">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14:paraId="270C5CB2">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14:paraId="5F1F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2B92EA2A">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14:paraId="2C009F33">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14:paraId="77AC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3EF4869C">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14:paraId="1A44D410">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14:paraId="3175B28F">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14:paraId="435A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02054903">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14:paraId="60DBD119">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14:paraId="54C872C7">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14:paraId="5D05CAAC">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14:paraId="5883FB63">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14:paraId="1E3F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169B7ED5">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14:paraId="2412C65A">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14:paraId="192E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2F567B58">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14:paraId="63718529">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14:paraId="32A4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vAlign w:val="center"/>
          </w:tcPr>
          <w:p w14:paraId="1E278408">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14:paraId="3880B90B">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5197A5B8">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6EEC96FC">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16C9910A">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101D9328">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1322DAC8">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2DA753F5">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00C09765">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17D2F8EB">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14:paraId="10AE531F">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14:paraId="4F5A95CB">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5" w:name="_Toc2651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澳大利亚纽卡斯尔大学</w:t>
      </w:r>
      <w:bookmarkEnd w:id="3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695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85" w:type="dxa"/>
          </w:tcPr>
          <w:p w14:paraId="56C9A9D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14:paraId="6F6CAE6C">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14:paraId="6FF2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985" w:type="dxa"/>
          </w:tcPr>
          <w:p w14:paraId="6EE33364">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14:paraId="3F27939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14:paraId="57AF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85" w:type="dxa"/>
          </w:tcPr>
          <w:p w14:paraId="16DF07F0">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14:paraId="457D15FE">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3A1D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D5B3C6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14:paraId="026FB46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671D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C6A297A">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14:paraId="150B735C">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14:paraId="02D3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0787D91">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14:paraId="6D5655B4">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14:paraId="274D807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14:paraId="31A4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BA18DD1">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14:paraId="1B9B0F34">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0CDAF4D3">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4577CE9B">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7C9920A0">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14:paraId="4D5B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03C38F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14:paraId="3C8A77F3">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AACSB</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MBA</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14:paraId="7999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85" w:type="dxa"/>
            <w:vAlign w:val="center"/>
          </w:tcPr>
          <w:p w14:paraId="7B27C4B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4446FC80">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722DA183">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5146FBD0">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107EFD6B">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76BAE486">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12BD0EE3">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62D741E2">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53C36CD2">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5BDFF8C5">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661826E0">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17EF03B8">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6" w:name="_Toc28551"/>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澳大利亚昆士兰科技大学</w:t>
      </w:r>
      <w:bookmarkEnd w:id="3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0641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85" w:type="dxa"/>
          </w:tcPr>
          <w:p w14:paraId="7F4A361B">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6F2FCCB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14:paraId="05A7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F843C2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496BA41E">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14:paraId="7335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7FDBB46">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16D766A0">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10F8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E1F66D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4BC264B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66B7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4A8946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72C60E89">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14:paraId="5539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ED0530A">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4FAB41D8">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14:paraId="72D8E7AE">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14:paraId="16E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B913672">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72AD1FA9">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03BDDA66">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21E3F229">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14:paraId="6AFF4FFD">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14:paraId="7888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75319A2">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5BE3DB0C">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澳大利亚</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昆士兰州</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布里斯班</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泰晤士高等教育世界大学排名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QS世界大学排名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37" w:name="ref_[2]_184747"/>
            <w:r>
              <w:rPr>
                <w:rFonts w:ascii="Calibri" w:hAnsi="Calibri" w:eastAsia="仿宋" w:cs="Calibri"/>
                <w:color w:val="000000" w:themeColor="text1"/>
                <w:kern w:val="0"/>
                <w:sz w:val="24"/>
                <w14:textFill>
                  <w14:solidFill>
                    <w14:schemeClr w14:val="tx1"/>
                  </w14:solidFill>
                </w14:textFill>
              </w:rPr>
              <w:t> </w:t>
            </w:r>
            <w:bookmarkEnd w:id="37"/>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会计、金融、管理、市场营销、经济、人力资源管理、公共关系管理、软件、信息系统、软件工程、信息管理、土木工程、工业设计、室内设计、工程管理、景观建筑学、环境工程、通讯技术等。</w:t>
            </w:r>
          </w:p>
        </w:tc>
      </w:tr>
      <w:tr w14:paraId="4C7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4D4C0CE1">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41148D9D">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4F2020CF">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77D19BAD">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086406EB">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14E262A0">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601A319C">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7D4E77DC">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0F382101">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796CB3E3">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24FD5AAE">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2C21509D">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69F69D83">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507A4E6C">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8" w:name="_Toc3068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马来西亚马来亚大学</w:t>
      </w:r>
      <w:bookmarkEnd w:id="3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6CB5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63537F0D">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2C75262E">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14:paraId="128E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E928FA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18499922">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2A62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7CC239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00B5532C">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0286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F28E46D">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0C6178A0">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60A6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B3B736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24922FB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0F3C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A148010">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65AD9F8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14:paraId="56BB4D54">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14:paraId="57F8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928A45C">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3A90F6C9">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5415ACF9">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390230E6">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14:paraId="54E58246">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14:paraId="1B1F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3EBB7FF">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14:paraId="099CB90B">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14:paraId="550B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1DC39082">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331A5D1F">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马来西亚</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温家宝</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14:paraId="5D06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BC66BA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14:paraId="2E2CFEDB">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3DCB5C6F">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0B3E19B9">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0681E387">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7228F82F">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74B1B0A5">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22BC732A">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2C361A7C">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1660F109">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39" w:name="_Toc25313"/>
    </w:p>
    <w:p w14:paraId="2A8D120B">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3F401E62">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5F98A367">
      <w:pPr>
        <w:pStyle w:val="4"/>
        <w:ind w:firstLine="3253" w:firstLineChars="900"/>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40" w:name="_Toc3263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韩国延世大学</w:t>
      </w:r>
      <w:bookmarkEnd w:id="39"/>
      <w:bookmarkEnd w:id="4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5071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20474C19">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6282C145">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14:paraId="1DF2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A2DB28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728E8A6E">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14:paraId="04E6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E7AFE4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152A27CF">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14:paraId="7FD7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DAD758D">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3BE3BDA1">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不限（自费）</w:t>
            </w:r>
          </w:p>
        </w:tc>
      </w:tr>
      <w:tr w14:paraId="5F03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A75F5E5">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09ED9C7D">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14:paraId="564F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737C1F3">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27E8C374">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31000元/学期</w:t>
            </w:r>
          </w:p>
          <w:p w14:paraId="4331332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请咨询延世大学官网https://www.yonsei.ac.kr</w:t>
            </w:r>
          </w:p>
        </w:tc>
      </w:tr>
      <w:tr w14:paraId="3970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424A803F">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50D24E53">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7B134B17">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73310C54">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（3）品学兼优，学习成绩排名前列，GPA不低于2.5/4.0;</w:t>
            </w:r>
          </w:p>
          <w:p w14:paraId="31DDE35C">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（4）较强的英语沟通能力（要求雅思不低于6.5或托福不低于79）。</w:t>
            </w:r>
          </w:p>
        </w:tc>
      </w:tr>
      <w:tr w14:paraId="2AAB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D8F0BA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3816069F">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14:paraId="5172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79137DDC">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226BE9FC">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6ECFCFD4">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4759B8B6">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05087138">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6FCB4CA7">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01EF1F93">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14A20F93">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1D94E80C">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71F4C897">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41" w:name="_Toc17289"/>
    </w:p>
    <w:p w14:paraId="5AC46947">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03B5FFA5">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2D29A68C">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42" w:name="_Toc17192"/>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w:t>
      </w: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崇实</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41"/>
      <w:bookmarkEnd w:id="4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615F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32CC300E">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0FA9E2D5">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每学期选派优秀本科生进行交流学习。学习结束后，学生可将相关学分转换回我校</w:t>
            </w:r>
          </w:p>
        </w:tc>
      </w:tr>
      <w:tr w14:paraId="068C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86FB432">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659710B7">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45F8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1F4AD88">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1019E1A3">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14:paraId="000D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AAF69E2">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77C7A485">
            <w:pPr>
              <w:pStyle w:val="27"/>
              <w:widowControl/>
              <w:rPr>
                <w:rFonts w:hint="eastAsia" w:ascii="仿宋" w:hAnsi="仿宋" w:eastAsia="仿宋" w:cs="宋体"/>
                <w:color w:val="000000" w:themeColor="text1"/>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14:paraId="4787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DF6FC17">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50D7E90A">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1187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D505C8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63B85B4D">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请咨询崇实大学官网</w:t>
            </w:r>
            <w:r>
              <w:rPr>
                <w:rFonts w:hint="eastAsia" w:ascii="仿宋" w:hAnsi="仿宋" w:eastAsia="仿宋" w:cs="宋体"/>
                <w:color w:val="000000" w:themeColor="text1"/>
                <w:spacing w:val="8"/>
                <w:shd w:val="clear" w:color="auto" w:fill="FFFFFF"/>
                <w14:textFill>
                  <w14:solidFill>
                    <w14:schemeClr w14:val="tx1"/>
                  </w14:solidFill>
                </w14:textFill>
              </w:rPr>
              <w:t>https://study.ssu.ac.kr/en/main/main.do</w:t>
            </w:r>
          </w:p>
        </w:tc>
      </w:tr>
      <w:tr w14:paraId="3BB0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304601BA">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3A89F6EF">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14:paraId="5C3D9716">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14:paraId="0ECEB7AF">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14:paraId="62CE5A3D">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外语水平优秀者优先。（雅思</w:t>
            </w:r>
            <w:r>
              <w:rPr>
                <w:rFonts w:hint="default" w:ascii="仿宋" w:hAnsi="仿宋" w:eastAsia="仿宋" w:cs="宋体"/>
                <w:color w:val="000000" w:themeColor="text1"/>
                <w:spacing w:val="8"/>
                <w:shd w:val="clear" w:color="auto" w:fill="FFFFFF"/>
                <w14:textFill>
                  <w14:solidFill>
                    <w14:schemeClr w14:val="tx1"/>
                  </w14:solidFill>
                </w14:textFill>
              </w:rPr>
              <w:t>5分或者托福70分及以上）</w:t>
            </w:r>
          </w:p>
        </w:tc>
      </w:tr>
      <w:tr w14:paraId="421D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C0F4E19">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14:paraId="07F86014">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14:paraId="6427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3BCC644">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7C8983EA">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崇实大学是一所位于韩国首尔著名的基督教私立大学。地点在首尔市中心地铁七号线崇实大学站，它也是韩国最初的综合性大学。秉承着校训‘真理与奉献’的精神，该校的工学专业，计算机专业，社会福利专业名列前茅，该专业的教授在韩国享有盛誉。并且该校拥有全韩国最大的炯工业专业楼。</w:t>
            </w:r>
          </w:p>
        </w:tc>
      </w:tr>
      <w:tr w14:paraId="1A39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37A5EA2F">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16D3C155">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14:paraId="18F8C3A1">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14:paraId="63C152F0">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14:paraId="0ECB3B2B">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14:paraId="5F853BEB">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14:paraId="1C617519">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14:paraId="3A61BFD9">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14:paraId="2851DB73">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14:paraId="1012C6EA">
      <w:pPr>
        <w:pStyle w:val="27"/>
        <w:widowControl/>
        <w:shd w:val="clear" w:color="auto" w:fill="FFFFFF"/>
        <w:rPr>
          <w:rFonts w:hint="eastAsia" w:ascii="仿宋" w:hAnsi="仿宋" w:eastAsia="仿宋" w:cs="宋体"/>
          <w:b/>
          <w:bCs/>
          <w:color w:val="000000" w:themeColor="text1"/>
          <w:shd w:val="clear" w:color="auto" w:fill="FFFFFF"/>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97333">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14:paraId="058A95FE">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E700">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14:paraId="687E4677">
    <w:pPr>
      <w:pStyle w:val="1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iNmUyMmM1NjZlMWJkNjcwYmQ0NzczYTliMGQzMmUifQ=="/>
  </w:docVars>
  <w:rsids>
    <w:rsidRoot w:val="35B637C3"/>
    <w:rsid w:val="0000302C"/>
    <w:rsid w:val="000170D4"/>
    <w:rsid w:val="00042630"/>
    <w:rsid w:val="0006648A"/>
    <w:rsid w:val="000C7727"/>
    <w:rsid w:val="000D0A5E"/>
    <w:rsid w:val="00117094"/>
    <w:rsid w:val="00122C08"/>
    <w:rsid w:val="00123A52"/>
    <w:rsid w:val="00147B49"/>
    <w:rsid w:val="001A25C7"/>
    <w:rsid w:val="001D267A"/>
    <w:rsid w:val="001E0B59"/>
    <w:rsid w:val="00204706"/>
    <w:rsid w:val="00241F68"/>
    <w:rsid w:val="002A051F"/>
    <w:rsid w:val="002C32ED"/>
    <w:rsid w:val="002E4C53"/>
    <w:rsid w:val="002F6A10"/>
    <w:rsid w:val="00320724"/>
    <w:rsid w:val="00344EAD"/>
    <w:rsid w:val="00354CCD"/>
    <w:rsid w:val="00366073"/>
    <w:rsid w:val="003B0EF6"/>
    <w:rsid w:val="003B75FB"/>
    <w:rsid w:val="00437DA0"/>
    <w:rsid w:val="004856AE"/>
    <w:rsid w:val="004B06C3"/>
    <w:rsid w:val="004D7D89"/>
    <w:rsid w:val="004E3F03"/>
    <w:rsid w:val="004F0007"/>
    <w:rsid w:val="004F6E0F"/>
    <w:rsid w:val="00541DBF"/>
    <w:rsid w:val="005622C5"/>
    <w:rsid w:val="005A0CBD"/>
    <w:rsid w:val="005B332D"/>
    <w:rsid w:val="005B34AC"/>
    <w:rsid w:val="005F6D19"/>
    <w:rsid w:val="00606645"/>
    <w:rsid w:val="00613B5B"/>
    <w:rsid w:val="00621431"/>
    <w:rsid w:val="006832D2"/>
    <w:rsid w:val="006B156E"/>
    <w:rsid w:val="006C6A54"/>
    <w:rsid w:val="006D1174"/>
    <w:rsid w:val="007243E5"/>
    <w:rsid w:val="007264A7"/>
    <w:rsid w:val="00751781"/>
    <w:rsid w:val="00792C12"/>
    <w:rsid w:val="007A4414"/>
    <w:rsid w:val="007E4A14"/>
    <w:rsid w:val="00832C57"/>
    <w:rsid w:val="00841A7E"/>
    <w:rsid w:val="008639C3"/>
    <w:rsid w:val="0087380F"/>
    <w:rsid w:val="008750B2"/>
    <w:rsid w:val="008F1796"/>
    <w:rsid w:val="00901A7F"/>
    <w:rsid w:val="00915445"/>
    <w:rsid w:val="0095571D"/>
    <w:rsid w:val="00957993"/>
    <w:rsid w:val="009721E4"/>
    <w:rsid w:val="0098061F"/>
    <w:rsid w:val="009B57FF"/>
    <w:rsid w:val="009C17F6"/>
    <w:rsid w:val="009E3BDD"/>
    <w:rsid w:val="009F3E94"/>
    <w:rsid w:val="00A17A32"/>
    <w:rsid w:val="00A449EA"/>
    <w:rsid w:val="00A64D00"/>
    <w:rsid w:val="00A7592D"/>
    <w:rsid w:val="00AF4110"/>
    <w:rsid w:val="00B0170B"/>
    <w:rsid w:val="00B0769C"/>
    <w:rsid w:val="00B1082F"/>
    <w:rsid w:val="00B63757"/>
    <w:rsid w:val="00B84A24"/>
    <w:rsid w:val="00C01B8C"/>
    <w:rsid w:val="00C03FF7"/>
    <w:rsid w:val="00C44C10"/>
    <w:rsid w:val="00C83D7E"/>
    <w:rsid w:val="00CA10B5"/>
    <w:rsid w:val="00CA1AA3"/>
    <w:rsid w:val="00CA2889"/>
    <w:rsid w:val="00CD4C7B"/>
    <w:rsid w:val="00CF06B6"/>
    <w:rsid w:val="00CF660D"/>
    <w:rsid w:val="00D14848"/>
    <w:rsid w:val="00D26FAA"/>
    <w:rsid w:val="00D47B01"/>
    <w:rsid w:val="00D94D74"/>
    <w:rsid w:val="00DC3089"/>
    <w:rsid w:val="00E24242"/>
    <w:rsid w:val="00E432F7"/>
    <w:rsid w:val="00E44B1D"/>
    <w:rsid w:val="00E54F8F"/>
    <w:rsid w:val="00E61D20"/>
    <w:rsid w:val="00E80055"/>
    <w:rsid w:val="00EA1238"/>
    <w:rsid w:val="00EC01B0"/>
    <w:rsid w:val="00ED3278"/>
    <w:rsid w:val="00F06075"/>
    <w:rsid w:val="00F15835"/>
    <w:rsid w:val="00F22916"/>
    <w:rsid w:val="00F40BA0"/>
    <w:rsid w:val="00F51C7B"/>
    <w:rsid w:val="00F73B36"/>
    <w:rsid w:val="00F766A0"/>
    <w:rsid w:val="00FA2AC1"/>
    <w:rsid w:val="00FB5F16"/>
    <w:rsid w:val="00FD0963"/>
    <w:rsid w:val="033835C5"/>
    <w:rsid w:val="041554E7"/>
    <w:rsid w:val="043E5A21"/>
    <w:rsid w:val="054349B2"/>
    <w:rsid w:val="05553232"/>
    <w:rsid w:val="059C4CEC"/>
    <w:rsid w:val="05FA04B5"/>
    <w:rsid w:val="077E7282"/>
    <w:rsid w:val="082B5D4C"/>
    <w:rsid w:val="086E3F88"/>
    <w:rsid w:val="0ABB4D47"/>
    <w:rsid w:val="0CAF1884"/>
    <w:rsid w:val="0EA622B2"/>
    <w:rsid w:val="1099027C"/>
    <w:rsid w:val="119B7881"/>
    <w:rsid w:val="12494EC1"/>
    <w:rsid w:val="126B3217"/>
    <w:rsid w:val="1534632A"/>
    <w:rsid w:val="15C34C76"/>
    <w:rsid w:val="17783479"/>
    <w:rsid w:val="18B330A4"/>
    <w:rsid w:val="196947C5"/>
    <w:rsid w:val="19CB4F4F"/>
    <w:rsid w:val="19ED7944"/>
    <w:rsid w:val="1C8B0D4A"/>
    <w:rsid w:val="1FD66EDA"/>
    <w:rsid w:val="1FF9718D"/>
    <w:rsid w:val="21E528FE"/>
    <w:rsid w:val="24446BEF"/>
    <w:rsid w:val="24C95BA6"/>
    <w:rsid w:val="25093983"/>
    <w:rsid w:val="255C37FB"/>
    <w:rsid w:val="255D4F4D"/>
    <w:rsid w:val="257944EB"/>
    <w:rsid w:val="273E5983"/>
    <w:rsid w:val="29CB051A"/>
    <w:rsid w:val="2AC86FEF"/>
    <w:rsid w:val="2ED60CC9"/>
    <w:rsid w:val="2F731F59"/>
    <w:rsid w:val="2F91256B"/>
    <w:rsid w:val="2FE64FE7"/>
    <w:rsid w:val="302007CF"/>
    <w:rsid w:val="30334B55"/>
    <w:rsid w:val="30C9113B"/>
    <w:rsid w:val="317617CB"/>
    <w:rsid w:val="31CA628E"/>
    <w:rsid w:val="326E20D9"/>
    <w:rsid w:val="327A2A20"/>
    <w:rsid w:val="35634F9A"/>
    <w:rsid w:val="35B637C3"/>
    <w:rsid w:val="35D70997"/>
    <w:rsid w:val="364944FB"/>
    <w:rsid w:val="36804BA6"/>
    <w:rsid w:val="38AF0395"/>
    <w:rsid w:val="3B202CC9"/>
    <w:rsid w:val="3D381641"/>
    <w:rsid w:val="3EF81A54"/>
    <w:rsid w:val="3EFC5C2C"/>
    <w:rsid w:val="3F7F0CD4"/>
    <w:rsid w:val="3FA22D0E"/>
    <w:rsid w:val="3FF7C12B"/>
    <w:rsid w:val="429E645D"/>
    <w:rsid w:val="452403F0"/>
    <w:rsid w:val="4636055E"/>
    <w:rsid w:val="46667D6A"/>
    <w:rsid w:val="49587E5E"/>
    <w:rsid w:val="4AA361CC"/>
    <w:rsid w:val="4AA577B6"/>
    <w:rsid w:val="4C2F4236"/>
    <w:rsid w:val="4DF04E21"/>
    <w:rsid w:val="4DF55042"/>
    <w:rsid w:val="4E1216B9"/>
    <w:rsid w:val="4EBE4E15"/>
    <w:rsid w:val="510312D5"/>
    <w:rsid w:val="5252669C"/>
    <w:rsid w:val="52A054C0"/>
    <w:rsid w:val="52D37E4D"/>
    <w:rsid w:val="53077268"/>
    <w:rsid w:val="54214779"/>
    <w:rsid w:val="55101B7A"/>
    <w:rsid w:val="573C3213"/>
    <w:rsid w:val="590113B4"/>
    <w:rsid w:val="590E55C8"/>
    <w:rsid w:val="59B41875"/>
    <w:rsid w:val="5A053928"/>
    <w:rsid w:val="5A660630"/>
    <w:rsid w:val="5EA81D3F"/>
    <w:rsid w:val="60B64216"/>
    <w:rsid w:val="60BC5B58"/>
    <w:rsid w:val="60D9639A"/>
    <w:rsid w:val="61706FBC"/>
    <w:rsid w:val="635B261A"/>
    <w:rsid w:val="65640D13"/>
    <w:rsid w:val="65E32635"/>
    <w:rsid w:val="6643553D"/>
    <w:rsid w:val="670A6F51"/>
    <w:rsid w:val="6A6575CE"/>
    <w:rsid w:val="6B2521FD"/>
    <w:rsid w:val="6BFC005B"/>
    <w:rsid w:val="6DFF3C08"/>
    <w:rsid w:val="6F1D07E7"/>
    <w:rsid w:val="703021B7"/>
    <w:rsid w:val="728F406F"/>
    <w:rsid w:val="72D60383"/>
    <w:rsid w:val="7300726F"/>
    <w:rsid w:val="730F6C56"/>
    <w:rsid w:val="73434632"/>
    <w:rsid w:val="73FB3720"/>
    <w:rsid w:val="7463666F"/>
    <w:rsid w:val="767D9F53"/>
    <w:rsid w:val="799B33D8"/>
    <w:rsid w:val="7D802B6E"/>
    <w:rsid w:val="7E7F9797"/>
    <w:rsid w:val="7EF969B3"/>
    <w:rsid w:val="7FA9ECC1"/>
    <w:rsid w:val="7FF2A027"/>
    <w:rsid w:val="7FF312FC"/>
    <w:rsid w:val="7FF97783"/>
    <w:rsid w:val="7FFCFA6E"/>
    <w:rsid w:val="A59E26A7"/>
    <w:rsid w:val="AF7FA18B"/>
    <w:rsid w:val="B6CB9F8C"/>
    <w:rsid w:val="CBDC2613"/>
    <w:rsid w:val="D5998AD9"/>
    <w:rsid w:val="D7E00C3A"/>
    <w:rsid w:val="EC31FA3C"/>
    <w:rsid w:val="F47F339D"/>
    <w:rsid w:val="F5BBBD86"/>
    <w:rsid w:val="F6AD8256"/>
    <w:rsid w:val="FDD755F1"/>
    <w:rsid w:val="FDF75414"/>
    <w:rsid w:val="FDFD197A"/>
    <w:rsid w:val="FFF39A30"/>
    <w:rsid w:val="FFFBE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120"/>
      <w:contextualSpacing/>
      <w:outlineLvl w:val="0"/>
    </w:pPr>
    <w:rPr>
      <w:rFonts w:asciiTheme="majorHAnsi" w:hAnsiTheme="majorHAnsi"/>
      <w:color w:val="2E75B6" w:themeColor="accent1" w:themeShade="BF"/>
      <w:sz w:val="36"/>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index 8"/>
    <w:basedOn w:val="1"/>
    <w:next w:val="1"/>
    <w:qFormat/>
    <w:uiPriority w:val="0"/>
    <w:pPr>
      <w:ind w:left="1680" w:hanging="210"/>
    </w:pPr>
  </w:style>
  <w:style w:type="paragraph" w:styleId="7">
    <w:name w:val="index 5"/>
    <w:basedOn w:val="1"/>
    <w:next w:val="1"/>
    <w:qFormat/>
    <w:uiPriority w:val="0"/>
    <w:pPr>
      <w:ind w:left="1050" w:hanging="210"/>
    </w:pPr>
  </w:style>
  <w:style w:type="paragraph" w:styleId="8">
    <w:name w:val="index 6"/>
    <w:basedOn w:val="1"/>
    <w:next w:val="1"/>
    <w:qFormat/>
    <w:uiPriority w:val="0"/>
    <w:pPr>
      <w:ind w:left="1260" w:hanging="210"/>
    </w:pPr>
  </w:style>
  <w:style w:type="paragraph" w:styleId="9">
    <w:name w:val="index 4"/>
    <w:basedOn w:val="1"/>
    <w:next w:val="1"/>
    <w:qFormat/>
    <w:uiPriority w:val="0"/>
    <w:pPr>
      <w:ind w:left="840" w:hanging="210"/>
    </w:pPr>
  </w:style>
  <w:style w:type="paragraph" w:styleId="10">
    <w:name w:val="toc 5"/>
    <w:basedOn w:val="1"/>
    <w:next w:val="1"/>
    <w:qFormat/>
    <w:uiPriority w:val="0"/>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qFormat/>
    <w:uiPriority w:val="0"/>
    <w:pPr>
      <w:ind w:left="1470"/>
      <w:jc w:val="left"/>
    </w:pPr>
    <w:rPr>
      <w:sz w:val="20"/>
      <w:szCs w:val="20"/>
    </w:rPr>
  </w:style>
  <w:style w:type="paragraph" w:styleId="13">
    <w:name w:val="index 3"/>
    <w:basedOn w:val="1"/>
    <w:next w:val="1"/>
    <w:qFormat/>
    <w:uiPriority w:val="0"/>
    <w:pPr>
      <w:ind w:left="630" w:hanging="210"/>
    </w:pPr>
  </w:style>
  <w:style w:type="paragraph" w:styleId="14">
    <w:name w:val="Balloon Text"/>
    <w:basedOn w:val="1"/>
    <w:link w:val="43"/>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jc w:val="left"/>
    </w:pPr>
    <w:rPr>
      <w:b/>
      <w:bCs/>
      <w:i/>
      <w:iCs/>
      <w:sz w:val="24"/>
    </w:rPr>
  </w:style>
  <w:style w:type="paragraph" w:styleId="18">
    <w:name w:val="toc 4"/>
    <w:basedOn w:val="1"/>
    <w:next w:val="1"/>
    <w:qFormat/>
    <w:uiPriority w:val="0"/>
    <w:pPr>
      <w:ind w:left="630"/>
      <w:jc w:val="left"/>
    </w:pPr>
    <w:rPr>
      <w:sz w:val="20"/>
      <w:szCs w:val="20"/>
    </w:rPr>
  </w:style>
  <w:style w:type="paragraph" w:styleId="19">
    <w:name w:val="index heading"/>
    <w:basedOn w:val="1"/>
    <w:next w:val="20"/>
    <w:qFormat/>
    <w:uiPriority w:val="0"/>
  </w:style>
  <w:style w:type="paragraph" w:styleId="20">
    <w:name w:val="index 1"/>
    <w:basedOn w:val="1"/>
    <w:next w:val="1"/>
    <w:qFormat/>
    <w:uiPriority w:val="0"/>
    <w:pPr>
      <w:ind w:left="210" w:hanging="210"/>
    </w:pPr>
  </w:style>
  <w:style w:type="paragraph" w:styleId="21">
    <w:name w:val="toc 6"/>
    <w:basedOn w:val="1"/>
    <w:next w:val="1"/>
    <w:qFormat/>
    <w:uiPriority w:val="0"/>
    <w:pPr>
      <w:ind w:left="1050"/>
      <w:jc w:val="left"/>
    </w:pPr>
    <w:rPr>
      <w:sz w:val="20"/>
      <w:szCs w:val="20"/>
    </w:rPr>
  </w:style>
  <w:style w:type="paragraph" w:styleId="22">
    <w:name w:val="index 7"/>
    <w:basedOn w:val="1"/>
    <w:next w:val="1"/>
    <w:qFormat/>
    <w:uiPriority w:val="0"/>
    <w:pPr>
      <w:ind w:left="1470" w:hanging="210"/>
    </w:pPr>
  </w:style>
  <w:style w:type="paragraph" w:styleId="23">
    <w:name w:val="index 9"/>
    <w:basedOn w:val="1"/>
    <w:next w:val="1"/>
    <w:qFormat/>
    <w:uiPriority w:val="0"/>
    <w:pPr>
      <w:ind w:left="1890" w:hanging="210"/>
    </w:pPr>
  </w:style>
  <w:style w:type="paragraph" w:styleId="24">
    <w:name w:val="table of figures"/>
    <w:basedOn w:val="1"/>
    <w:next w:val="1"/>
    <w:qFormat/>
    <w:uiPriority w:val="0"/>
    <w:pPr>
      <w:ind w:left="420" w:hanging="420"/>
    </w:pPr>
  </w:style>
  <w:style w:type="paragraph" w:styleId="25">
    <w:name w:val="toc 2"/>
    <w:basedOn w:val="1"/>
    <w:next w:val="1"/>
    <w:unhideWhenUsed/>
    <w:qFormat/>
    <w:uiPriority w:val="39"/>
    <w:pPr>
      <w:spacing w:before="120"/>
      <w:ind w:left="210"/>
      <w:jc w:val="left"/>
    </w:pPr>
    <w:rPr>
      <w:b/>
      <w:bCs/>
      <w:sz w:val="22"/>
      <w:szCs w:val="22"/>
    </w:rPr>
  </w:style>
  <w:style w:type="paragraph" w:styleId="26">
    <w:name w:val="toc 9"/>
    <w:basedOn w:val="1"/>
    <w:next w:val="1"/>
    <w:qFormat/>
    <w:uiPriority w:val="0"/>
    <w:pPr>
      <w:ind w:left="1680"/>
      <w:jc w:val="left"/>
    </w:pPr>
    <w:rPr>
      <w:sz w:val="20"/>
      <w:szCs w:val="20"/>
    </w:rPr>
  </w:style>
  <w:style w:type="paragraph" w:styleId="27">
    <w:name w:val="Normal (Web)"/>
    <w:basedOn w:val="1"/>
    <w:qFormat/>
    <w:uiPriority w:val="0"/>
    <w:pPr>
      <w:spacing w:beforeAutospacing="1" w:afterAutospacing="1"/>
      <w:jc w:val="left"/>
    </w:pPr>
    <w:rPr>
      <w:rFonts w:cs="Times New Roman"/>
      <w:kern w:val="0"/>
      <w:sz w:val="24"/>
    </w:rPr>
  </w:style>
  <w:style w:type="paragraph" w:styleId="28">
    <w:name w:val="index 2"/>
    <w:basedOn w:val="1"/>
    <w:next w:val="1"/>
    <w:qFormat/>
    <w:uiPriority w:val="0"/>
    <w:pPr>
      <w:ind w:left="420" w:hanging="210"/>
    </w:pPr>
  </w:style>
  <w:style w:type="paragraph" w:styleId="29">
    <w:name w:val="Title"/>
    <w:basedOn w:val="1"/>
    <w:next w:val="1"/>
    <w:link w:val="39"/>
    <w:qFormat/>
    <w:uiPriority w:val="0"/>
    <w:pPr>
      <w:spacing w:before="240" w:after="60"/>
      <w:jc w:val="center"/>
      <w:outlineLvl w:val="0"/>
    </w:pPr>
    <w:rPr>
      <w:rFonts w:asciiTheme="majorHAnsi" w:hAnsiTheme="majorHAnsi" w:eastAsiaTheme="majorEastAsia" w:cstheme="majorBidi"/>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99"/>
    <w:rPr>
      <w:color w:val="0000FF"/>
      <w:u w:val="single"/>
    </w:rPr>
  </w:style>
  <w:style w:type="character" w:customStyle="1" w:styleId="36">
    <w:name w:val="apple-converted-space"/>
    <w:basedOn w:val="32"/>
    <w:qFormat/>
    <w:uiPriority w:val="0"/>
  </w:style>
  <w:style w:type="paragraph" w:customStyle="1" w:styleId="37">
    <w:name w:val="TOC 标题1"/>
    <w:basedOn w:val="2"/>
    <w:next w:val="1"/>
    <w:unhideWhenUsed/>
    <w:qFormat/>
    <w:uiPriority w:val="39"/>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38">
    <w:name w:val="List Paragraph"/>
    <w:basedOn w:val="1"/>
    <w:qFormat/>
    <w:uiPriority w:val="99"/>
    <w:pPr>
      <w:ind w:firstLine="420" w:firstLineChars="200"/>
    </w:pPr>
  </w:style>
  <w:style w:type="character" w:customStyle="1" w:styleId="39">
    <w:name w:val="标题 字符"/>
    <w:basedOn w:val="32"/>
    <w:link w:val="29"/>
    <w:qFormat/>
    <w:uiPriority w:val="0"/>
    <w:rPr>
      <w:rFonts w:asciiTheme="majorHAnsi" w:hAnsiTheme="majorHAnsi" w:eastAsiaTheme="majorEastAsia" w:cstheme="majorBidi"/>
      <w:b/>
      <w:bCs/>
      <w:kern w:val="2"/>
      <w:sz w:val="32"/>
      <w:szCs w:val="32"/>
    </w:rPr>
  </w:style>
  <w:style w:type="character" w:customStyle="1" w:styleId="40">
    <w:name w:val="标题 2 字符"/>
    <w:basedOn w:val="32"/>
    <w:link w:val="3"/>
    <w:qFormat/>
    <w:uiPriority w:val="0"/>
    <w:rPr>
      <w:rFonts w:asciiTheme="majorHAnsi" w:hAnsiTheme="majorHAnsi" w:eastAsiaTheme="majorEastAsia" w:cstheme="majorBidi"/>
      <w:b/>
      <w:bCs/>
      <w:kern w:val="2"/>
      <w:sz w:val="32"/>
      <w:szCs w:val="32"/>
    </w:rPr>
  </w:style>
  <w:style w:type="character" w:customStyle="1" w:styleId="41">
    <w:name w:val="页脚 字符"/>
    <w:basedOn w:val="32"/>
    <w:link w:val="15"/>
    <w:qFormat/>
    <w:uiPriority w:val="0"/>
    <w:rPr>
      <w:rFonts w:asciiTheme="minorHAnsi" w:hAnsiTheme="minorHAnsi" w:eastAsiaTheme="minorEastAsia" w:cstheme="minorBidi"/>
      <w:kern w:val="2"/>
      <w:sz w:val="18"/>
      <w:szCs w:val="18"/>
    </w:rPr>
  </w:style>
  <w:style w:type="character" w:customStyle="1" w:styleId="42">
    <w:name w:val="页眉 字符"/>
    <w:basedOn w:val="32"/>
    <w:link w:val="16"/>
    <w:qFormat/>
    <w:uiPriority w:val="0"/>
    <w:rPr>
      <w:rFonts w:asciiTheme="minorHAnsi" w:hAnsiTheme="minorHAnsi" w:eastAsiaTheme="minorEastAsia" w:cstheme="minorBidi"/>
      <w:kern w:val="2"/>
      <w:sz w:val="18"/>
      <w:szCs w:val="18"/>
    </w:rPr>
  </w:style>
  <w:style w:type="character" w:customStyle="1" w:styleId="43">
    <w:name w:val="批注框文本 字符"/>
    <w:basedOn w:val="32"/>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34</Pages>
  <Words>8792</Words>
  <Characters>10107</Characters>
  <Lines>220</Lines>
  <Paragraphs>61</Paragraphs>
  <TotalTime>1</TotalTime>
  <ScaleCrop>false</ScaleCrop>
  <LinksUpToDate>false</LinksUpToDate>
  <CharactersWithSpaces>10181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2023-09-11T18:59:00Z</dcterms:created>
  <dc:creator>不慌不忙</dc:creator>
  <cp:lastModifiedBy>森</cp:lastModifiedBy>
  <cp:lastPrinted>2021-03-07T16:21:00Z</cp:lastPrinted>
  <dcterms:modified xsi:type="dcterms:W3CDTF">2025-03-07T01:26:43Z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71DE12F68BBB48F19A05F528C76E3E56_13</vt:lpwstr>
  </property>
  <property fmtid="{D5CDD505-2E9C-101B-9397-08002B2CF9AE}" pid="4" name="KSOTemplateDocerSaveRecord">
    <vt:lpwstr>eyJoZGlkIjoiZWRiNmUyMmM1NjZlMWJkNjcwYmQ0NzczYTliMGQzMmUiLCJ1c2VySWQiOiIxMjU0MzcwNjAyIn0=</vt:lpwstr>
  </property>
</Properties>
</file>