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right" w:leader="dot" w:pos="8306"/>
        </w:tabs>
      </w:pPr>
      <w:r>
        <w:rPr>
          <w:sz w:val="72"/>
        </w:rPr>
        <w:fldChar w:fldCharType="begin"/>
      </w:r>
      <w:r>
        <w:rPr>
          <w:sz w:val="72"/>
        </w:rPr>
        <w:instrText xml:space="preserve"> </w:instrText>
      </w:r>
      <w:r>
        <w:rPr>
          <w:rFonts w:hint="eastAsia"/>
          <w:sz w:val="72"/>
        </w:rPr>
        <w:instrText xml:space="preserve">TOC \o "1-3" \h \z \u</w:instrText>
      </w:r>
      <w:r>
        <w:rPr>
          <w:sz w:val="72"/>
        </w:rPr>
        <w:instrText xml:space="preserve"> </w:instrText>
      </w:r>
      <w:r>
        <w:rPr>
          <w:sz w:val="72"/>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_Toc23179 </w:instrText>
      </w:r>
      <w:r>
        <w:rPr>
          <w:rFonts w:hint="eastAsia" w:ascii="宋体" w:hAnsi="宋体" w:eastAsia="宋体" w:cs="宋体"/>
          <w:sz w:val="32"/>
          <w:szCs w:val="32"/>
        </w:rPr>
        <w:fldChar w:fldCharType="separate"/>
      </w:r>
      <w:r>
        <w:rPr>
          <w:rFonts w:hint="eastAsia" w:ascii="宋体" w:hAnsi="宋体" w:eastAsia="宋体" w:cs="宋体"/>
          <w:sz w:val="32"/>
          <w:szCs w:val="32"/>
        </w:rPr>
        <w:t>国家公派项目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_Toc23179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_Toc19693 </w:instrText>
      </w:r>
      <w:r>
        <w:rPr>
          <w:rFonts w:hint="eastAsia" w:ascii="楷体" w:hAnsi="楷体" w:eastAsia="楷体" w:cs="楷体"/>
          <w:sz w:val="28"/>
          <w:szCs w:val="28"/>
        </w:rPr>
        <w:fldChar w:fldCharType="separate"/>
      </w:r>
      <w:r>
        <w:rPr>
          <w:rFonts w:hint="eastAsia" w:ascii="楷体" w:hAnsi="楷体" w:eastAsia="楷体" w:cs="楷体"/>
          <w:sz w:val="28"/>
          <w:szCs w:val="28"/>
        </w:rPr>
        <w:t>俄罗斯莫斯科动力学院</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_Toc19693 </w:instrText>
      </w:r>
      <w:r>
        <w:rPr>
          <w:rFonts w:hint="eastAsia" w:ascii="楷体" w:hAnsi="楷体" w:eastAsia="楷体" w:cs="楷体"/>
          <w:sz w:val="28"/>
          <w:szCs w:val="28"/>
        </w:rPr>
        <w:fldChar w:fldCharType="separate"/>
      </w:r>
      <w:r>
        <w:rPr>
          <w:rFonts w:hint="eastAsia" w:ascii="楷体" w:hAnsi="楷体" w:eastAsia="楷体" w:cs="楷体"/>
          <w:sz w:val="28"/>
          <w:szCs w:val="28"/>
        </w:rPr>
        <w:t>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_Toc8389 </w:instrText>
      </w:r>
      <w:r>
        <w:rPr>
          <w:rFonts w:hint="eastAsia" w:ascii="楷体" w:hAnsi="楷体" w:eastAsia="楷体" w:cs="楷体"/>
          <w:sz w:val="28"/>
          <w:szCs w:val="28"/>
        </w:rPr>
        <w:fldChar w:fldCharType="separate"/>
      </w:r>
      <w:r>
        <w:rPr>
          <w:rFonts w:hint="eastAsia" w:ascii="楷体" w:hAnsi="楷体" w:eastAsia="楷体" w:cs="楷体"/>
          <w:sz w:val="28"/>
          <w:szCs w:val="28"/>
        </w:rPr>
        <w:t>俄罗斯新西伯利亚国立大学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_Toc8389 </w:instrText>
      </w:r>
      <w:r>
        <w:rPr>
          <w:rFonts w:hint="eastAsia" w:ascii="楷体" w:hAnsi="楷体" w:eastAsia="楷体" w:cs="楷体"/>
          <w:sz w:val="28"/>
          <w:szCs w:val="28"/>
        </w:rPr>
        <w:fldChar w:fldCharType="separate"/>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7"/>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_Toc21941 </w:instrText>
      </w:r>
      <w:r>
        <w:rPr>
          <w:rFonts w:hint="eastAsia" w:ascii="宋体" w:hAnsi="宋体" w:eastAsia="宋体" w:cs="宋体"/>
          <w:sz w:val="32"/>
          <w:szCs w:val="32"/>
        </w:rPr>
        <w:fldChar w:fldCharType="separate"/>
      </w:r>
      <w:r>
        <w:rPr>
          <w:rFonts w:hint="eastAsia" w:ascii="宋体" w:hAnsi="宋体" w:eastAsia="宋体" w:cs="宋体"/>
          <w:sz w:val="32"/>
          <w:szCs w:val="32"/>
        </w:rPr>
        <w:t>本科双学位项目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_Toc21941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_Toc20782 </w:instrText>
      </w:r>
      <w:r>
        <w:rPr>
          <w:rFonts w:hint="eastAsia" w:ascii="楷体" w:hAnsi="楷体" w:eastAsia="楷体" w:cs="楷体"/>
          <w:sz w:val="28"/>
          <w:szCs w:val="28"/>
        </w:rPr>
        <w:fldChar w:fldCharType="separate"/>
      </w:r>
      <w:r>
        <w:rPr>
          <w:rFonts w:hint="eastAsia" w:ascii="楷体" w:hAnsi="楷体" w:eastAsia="楷体" w:cs="楷体"/>
          <w:sz w:val="28"/>
          <w:szCs w:val="28"/>
        </w:rPr>
        <w:t>法国格勒诺布尔理工大学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_Toc20782 </w:instrText>
      </w:r>
      <w:r>
        <w:rPr>
          <w:rFonts w:hint="eastAsia" w:ascii="楷体" w:hAnsi="楷体" w:eastAsia="楷体" w:cs="楷体"/>
          <w:sz w:val="28"/>
          <w:szCs w:val="28"/>
        </w:rPr>
        <w:fldChar w:fldCharType="separate"/>
      </w:r>
      <w:r>
        <w:rPr>
          <w:rFonts w:hint="eastAsia" w:ascii="楷体" w:hAnsi="楷体" w:eastAsia="楷体" w:cs="楷体"/>
          <w:sz w:val="28"/>
          <w:szCs w:val="28"/>
        </w:rPr>
        <w:t>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_Toc19669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澳大利亚昆士兰大学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_Toc19669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_Toc6365 </w:instrText>
      </w:r>
      <w:r>
        <w:rPr>
          <w:rFonts w:hint="eastAsia" w:ascii="楷体" w:hAnsi="楷体" w:eastAsia="楷体" w:cs="楷体"/>
          <w:sz w:val="28"/>
          <w:szCs w:val="28"/>
        </w:rPr>
        <w:fldChar w:fldCharType="separate"/>
      </w:r>
      <w:r>
        <w:rPr>
          <w:rFonts w:hint="eastAsia" w:ascii="楷体" w:hAnsi="楷体" w:eastAsia="楷体" w:cs="楷体"/>
          <w:sz w:val="28"/>
          <w:szCs w:val="28"/>
        </w:rPr>
        <w:t>英国利兹大学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_Toc6365 </w:instrText>
      </w:r>
      <w:r>
        <w:rPr>
          <w:rFonts w:hint="eastAsia" w:ascii="楷体" w:hAnsi="楷体" w:eastAsia="楷体" w:cs="楷体"/>
          <w:sz w:val="28"/>
          <w:szCs w:val="28"/>
        </w:rPr>
        <w:fldChar w:fldCharType="separate"/>
      </w:r>
      <w:r>
        <w:rPr>
          <w:rFonts w:hint="eastAsia" w:ascii="楷体" w:hAnsi="楷体" w:eastAsia="楷体" w:cs="楷体"/>
          <w:sz w:val="28"/>
          <w:szCs w:val="28"/>
        </w:rPr>
        <w:t>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7"/>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_Toc7227 </w:instrText>
      </w:r>
      <w:r>
        <w:rPr>
          <w:rFonts w:hint="eastAsia" w:ascii="宋体" w:hAnsi="宋体" w:eastAsia="宋体" w:cs="宋体"/>
          <w:sz w:val="32"/>
          <w:szCs w:val="32"/>
        </w:rPr>
        <w:fldChar w:fldCharType="separate"/>
      </w:r>
      <w:r>
        <w:rPr>
          <w:rFonts w:hint="eastAsia" w:ascii="宋体" w:hAnsi="宋体" w:eastAsia="宋体" w:cs="宋体"/>
          <w:sz w:val="32"/>
          <w:szCs w:val="32"/>
        </w:rPr>
        <w:t>免学费项目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_Toc7227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_Toc11890 </w:instrText>
      </w:r>
      <w:r>
        <w:rPr>
          <w:rFonts w:hint="eastAsia" w:ascii="楷体" w:hAnsi="楷体" w:eastAsia="楷体" w:cs="楷体"/>
          <w:sz w:val="28"/>
          <w:szCs w:val="28"/>
        </w:rPr>
        <w:fldChar w:fldCharType="separate"/>
      </w:r>
      <w:r>
        <w:rPr>
          <w:rFonts w:hint="eastAsia" w:ascii="楷体" w:hAnsi="楷体" w:eastAsia="楷体" w:cs="楷体"/>
          <w:sz w:val="28"/>
          <w:szCs w:val="28"/>
        </w:rPr>
        <w:t>德国柏林自由大学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_Toc11890 </w:instrText>
      </w:r>
      <w:r>
        <w:rPr>
          <w:rFonts w:hint="eastAsia" w:ascii="楷体" w:hAnsi="楷体" w:eastAsia="楷体" w:cs="楷体"/>
          <w:sz w:val="28"/>
          <w:szCs w:val="28"/>
        </w:rPr>
        <w:fldChar w:fldCharType="separate"/>
      </w:r>
      <w:r>
        <w:rPr>
          <w:rFonts w:hint="eastAsia" w:ascii="楷体" w:hAnsi="楷体" w:eastAsia="楷体" w:cs="楷体"/>
          <w:sz w:val="28"/>
          <w:szCs w:val="28"/>
        </w:rPr>
        <w:t>10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_Toc27337 </w:instrText>
      </w:r>
      <w:r>
        <w:rPr>
          <w:rFonts w:hint="eastAsia" w:ascii="楷体" w:hAnsi="楷体" w:eastAsia="楷体" w:cs="楷体"/>
          <w:sz w:val="28"/>
          <w:szCs w:val="28"/>
        </w:rPr>
        <w:fldChar w:fldCharType="separate"/>
      </w:r>
      <w:r>
        <w:rPr>
          <w:rFonts w:hint="eastAsia" w:ascii="楷体" w:hAnsi="楷体" w:eastAsia="楷体" w:cs="楷体"/>
          <w:sz w:val="28"/>
          <w:szCs w:val="28"/>
        </w:rPr>
        <w:t>德国勃兰登堡工业大学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_Toc27337 </w:instrText>
      </w:r>
      <w:r>
        <w:rPr>
          <w:rFonts w:hint="eastAsia" w:ascii="楷体" w:hAnsi="楷体" w:eastAsia="楷体" w:cs="楷体"/>
          <w:sz w:val="28"/>
          <w:szCs w:val="28"/>
        </w:rPr>
        <w:fldChar w:fldCharType="separate"/>
      </w:r>
      <w:r>
        <w:rPr>
          <w:rFonts w:hint="eastAsia" w:ascii="楷体" w:hAnsi="楷体" w:eastAsia="楷体" w:cs="楷体"/>
          <w:sz w:val="28"/>
          <w:szCs w:val="28"/>
        </w:rPr>
        <w:t>11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_Toc17663 </w:instrText>
      </w:r>
      <w:r>
        <w:rPr>
          <w:rFonts w:hint="eastAsia" w:ascii="楷体" w:hAnsi="楷体" w:eastAsia="楷体" w:cs="楷体"/>
          <w:sz w:val="28"/>
          <w:szCs w:val="28"/>
        </w:rPr>
        <w:fldChar w:fldCharType="separate"/>
      </w:r>
      <w:r>
        <w:rPr>
          <w:rFonts w:hint="eastAsia" w:ascii="楷体" w:hAnsi="楷体" w:eastAsia="楷体" w:cs="楷体"/>
          <w:sz w:val="28"/>
          <w:szCs w:val="28"/>
        </w:rPr>
        <w:t>西班牙马德里理工大学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_Toc17663 </w:instrText>
      </w:r>
      <w:r>
        <w:rPr>
          <w:rFonts w:hint="eastAsia" w:ascii="楷体" w:hAnsi="楷体" w:eastAsia="楷体" w:cs="楷体"/>
          <w:sz w:val="28"/>
          <w:szCs w:val="28"/>
        </w:rPr>
        <w:fldChar w:fldCharType="separate"/>
      </w:r>
      <w:r>
        <w:rPr>
          <w:rFonts w:hint="eastAsia" w:ascii="楷体" w:hAnsi="楷体" w:eastAsia="楷体" w:cs="楷体"/>
          <w:sz w:val="28"/>
          <w:szCs w:val="28"/>
        </w:rPr>
        <w:t>12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_Toc4123 </w:instrText>
      </w:r>
      <w:r>
        <w:rPr>
          <w:rFonts w:hint="eastAsia" w:ascii="楷体" w:hAnsi="楷体" w:eastAsia="楷体" w:cs="楷体"/>
          <w:sz w:val="28"/>
          <w:szCs w:val="28"/>
        </w:rPr>
        <w:fldChar w:fldCharType="separate"/>
      </w:r>
      <w:r>
        <w:rPr>
          <w:rFonts w:hint="eastAsia" w:ascii="楷体" w:hAnsi="楷体" w:eastAsia="楷体" w:cs="楷体"/>
          <w:sz w:val="28"/>
          <w:szCs w:val="28"/>
        </w:rPr>
        <w:t>加拿大里贾纳大学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_Toc4123 </w:instrText>
      </w:r>
      <w:r>
        <w:rPr>
          <w:rFonts w:hint="eastAsia" w:ascii="楷体" w:hAnsi="楷体" w:eastAsia="楷体" w:cs="楷体"/>
          <w:sz w:val="28"/>
          <w:szCs w:val="28"/>
        </w:rPr>
        <w:fldChar w:fldCharType="separate"/>
      </w:r>
      <w:r>
        <w:rPr>
          <w:rFonts w:hint="eastAsia" w:ascii="楷体" w:hAnsi="楷体" w:eastAsia="楷体" w:cs="楷体"/>
          <w:sz w:val="28"/>
          <w:szCs w:val="28"/>
        </w:rPr>
        <w:t>13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_Toc19259 </w:instrText>
      </w:r>
      <w:r>
        <w:rPr>
          <w:rFonts w:hint="eastAsia" w:ascii="楷体" w:hAnsi="楷体" w:eastAsia="楷体" w:cs="楷体"/>
          <w:sz w:val="28"/>
          <w:szCs w:val="28"/>
        </w:rPr>
        <w:fldChar w:fldCharType="separate"/>
      </w:r>
      <w:r>
        <w:rPr>
          <w:rFonts w:hint="eastAsia" w:ascii="楷体" w:hAnsi="楷体" w:eastAsia="楷体" w:cs="楷体"/>
          <w:sz w:val="28"/>
          <w:szCs w:val="28"/>
        </w:rPr>
        <w:t>波兰弗罗茨瓦夫理工大学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_Toc19259 </w:instrText>
      </w:r>
      <w:r>
        <w:rPr>
          <w:rFonts w:hint="eastAsia" w:ascii="楷体" w:hAnsi="楷体" w:eastAsia="楷体" w:cs="楷体"/>
          <w:sz w:val="28"/>
          <w:szCs w:val="28"/>
        </w:rPr>
        <w:fldChar w:fldCharType="separate"/>
      </w:r>
      <w:r>
        <w:rPr>
          <w:rFonts w:hint="eastAsia" w:ascii="楷体" w:hAnsi="楷体" w:eastAsia="楷体" w:cs="楷体"/>
          <w:sz w:val="28"/>
          <w:szCs w:val="28"/>
        </w:rPr>
        <w:t>14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_Toc1905 </w:instrText>
      </w:r>
      <w:r>
        <w:rPr>
          <w:rFonts w:hint="eastAsia" w:ascii="楷体" w:hAnsi="楷体" w:eastAsia="楷体" w:cs="楷体"/>
          <w:sz w:val="28"/>
          <w:szCs w:val="28"/>
        </w:rPr>
        <w:fldChar w:fldCharType="separate"/>
      </w:r>
      <w:r>
        <w:rPr>
          <w:rFonts w:hint="eastAsia" w:ascii="楷体" w:hAnsi="楷体" w:eastAsia="楷体" w:cs="楷体"/>
          <w:sz w:val="28"/>
          <w:szCs w:val="28"/>
        </w:rPr>
        <w:t>荷兰格罗宁根大学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_Toc1905 </w:instrText>
      </w:r>
      <w:r>
        <w:rPr>
          <w:rFonts w:hint="eastAsia" w:ascii="楷体" w:hAnsi="楷体" w:eastAsia="楷体" w:cs="楷体"/>
          <w:sz w:val="28"/>
          <w:szCs w:val="28"/>
        </w:rPr>
        <w:fldChar w:fldCharType="separate"/>
      </w:r>
      <w:r>
        <w:rPr>
          <w:rFonts w:hint="eastAsia" w:ascii="楷体" w:hAnsi="楷体" w:eastAsia="楷体" w:cs="楷体"/>
          <w:sz w:val="28"/>
          <w:szCs w:val="28"/>
        </w:rPr>
        <w:t>15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_Toc323 </w:instrText>
      </w:r>
      <w:r>
        <w:rPr>
          <w:rFonts w:hint="eastAsia" w:ascii="楷体" w:hAnsi="楷体" w:eastAsia="楷体" w:cs="楷体"/>
          <w:sz w:val="28"/>
          <w:szCs w:val="28"/>
        </w:rPr>
        <w:fldChar w:fldCharType="separate"/>
      </w:r>
      <w:r>
        <w:rPr>
          <w:rFonts w:hint="eastAsia" w:ascii="楷体" w:hAnsi="楷体" w:eastAsia="楷体" w:cs="楷体"/>
          <w:sz w:val="28"/>
          <w:szCs w:val="28"/>
        </w:rPr>
        <w:t>克罗地亚萨格勒布大学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_Toc323 </w:instrText>
      </w:r>
      <w:r>
        <w:rPr>
          <w:rFonts w:hint="eastAsia" w:ascii="楷体" w:hAnsi="楷体" w:eastAsia="楷体" w:cs="楷体"/>
          <w:sz w:val="28"/>
          <w:szCs w:val="28"/>
        </w:rPr>
        <w:fldChar w:fldCharType="separate"/>
      </w:r>
      <w:r>
        <w:rPr>
          <w:rFonts w:hint="eastAsia" w:ascii="楷体" w:hAnsi="楷体" w:eastAsia="楷体" w:cs="楷体"/>
          <w:sz w:val="28"/>
          <w:szCs w:val="28"/>
        </w:rPr>
        <w:t>16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_Toc25313 </w:instrText>
      </w:r>
      <w:r>
        <w:rPr>
          <w:rFonts w:hint="eastAsia" w:ascii="楷体" w:hAnsi="楷体" w:eastAsia="楷体" w:cs="楷体"/>
          <w:sz w:val="28"/>
          <w:szCs w:val="28"/>
        </w:rPr>
        <w:fldChar w:fldCharType="separate"/>
      </w:r>
      <w:r>
        <w:rPr>
          <w:rFonts w:hint="eastAsia" w:ascii="楷体" w:hAnsi="楷体" w:eastAsia="楷体" w:cs="楷体"/>
          <w:sz w:val="28"/>
          <w:szCs w:val="28"/>
        </w:rPr>
        <w:t>韩国延世大学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_Toc25313 </w:instrText>
      </w:r>
      <w:r>
        <w:rPr>
          <w:rFonts w:hint="eastAsia" w:ascii="楷体" w:hAnsi="楷体" w:eastAsia="楷体" w:cs="楷体"/>
          <w:sz w:val="28"/>
          <w:szCs w:val="28"/>
        </w:rPr>
        <w:fldChar w:fldCharType="separate"/>
      </w:r>
      <w:r>
        <w:rPr>
          <w:rFonts w:hint="eastAsia" w:ascii="楷体" w:hAnsi="楷体" w:eastAsia="楷体" w:cs="楷体"/>
          <w:sz w:val="28"/>
          <w:szCs w:val="28"/>
        </w:rPr>
        <w:t>17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_Toc377 </w:instrText>
      </w:r>
      <w:r>
        <w:rPr>
          <w:rFonts w:hint="eastAsia" w:ascii="楷体" w:hAnsi="楷体" w:eastAsia="楷体" w:cs="楷体"/>
          <w:sz w:val="28"/>
          <w:szCs w:val="28"/>
        </w:rPr>
        <w:fldChar w:fldCharType="separate"/>
      </w:r>
      <w:r>
        <w:rPr>
          <w:rFonts w:hint="eastAsia" w:ascii="楷体" w:hAnsi="楷体" w:eastAsia="楷体" w:cs="楷体"/>
          <w:sz w:val="28"/>
          <w:szCs w:val="28"/>
        </w:rPr>
        <w:t>韩国首尔市立大学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_Toc377 </w:instrText>
      </w:r>
      <w:r>
        <w:rPr>
          <w:rFonts w:hint="eastAsia" w:ascii="楷体" w:hAnsi="楷体" w:eastAsia="楷体" w:cs="楷体"/>
          <w:sz w:val="28"/>
          <w:szCs w:val="28"/>
        </w:rPr>
        <w:fldChar w:fldCharType="separate"/>
      </w:r>
      <w:r>
        <w:rPr>
          <w:rFonts w:hint="eastAsia" w:ascii="楷体" w:hAnsi="楷体" w:eastAsia="楷体" w:cs="楷体"/>
          <w:sz w:val="28"/>
          <w:szCs w:val="28"/>
        </w:rPr>
        <w:t>18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_Toc2378 </w:instrText>
      </w:r>
      <w:r>
        <w:rPr>
          <w:rFonts w:hint="eastAsia" w:ascii="楷体" w:hAnsi="楷体" w:eastAsia="楷体" w:cs="楷体"/>
          <w:sz w:val="28"/>
          <w:szCs w:val="28"/>
        </w:rPr>
        <w:fldChar w:fldCharType="separate"/>
      </w:r>
      <w:r>
        <w:rPr>
          <w:rFonts w:hint="eastAsia" w:ascii="楷体" w:hAnsi="楷体" w:eastAsia="楷体" w:cs="楷体"/>
          <w:sz w:val="28"/>
          <w:szCs w:val="28"/>
        </w:rPr>
        <w:t>韩国庆北大学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_Toc2378 </w:instrText>
      </w:r>
      <w:r>
        <w:rPr>
          <w:rFonts w:hint="eastAsia" w:ascii="楷体" w:hAnsi="楷体" w:eastAsia="楷体" w:cs="楷体"/>
          <w:sz w:val="28"/>
          <w:szCs w:val="28"/>
        </w:rPr>
        <w:fldChar w:fldCharType="separate"/>
      </w:r>
      <w:r>
        <w:rPr>
          <w:rFonts w:hint="eastAsia" w:ascii="楷体" w:hAnsi="楷体" w:eastAsia="楷体" w:cs="楷体"/>
          <w:sz w:val="28"/>
          <w:szCs w:val="28"/>
        </w:rPr>
        <w:t>19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_Toc32063 </w:instrText>
      </w:r>
      <w:r>
        <w:rPr>
          <w:rFonts w:hint="eastAsia" w:ascii="楷体" w:hAnsi="楷体" w:eastAsia="楷体" w:cs="楷体"/>
          <w:sz w:val="28"/>
          <w:szCs w:val="28"/>
        </w:rPr>
        <w:fldChar w:fldCharType="separate"/>
      </w:r>
      <w:r>
        <w:rPr>
          <w:rFonts w:hint="eastAsia" w:ascii="楷体" w:hAnsi="楷体" w:eastAsia="楷体" w:cs="楷体"/>
          <w:sz w:val="28"/>
          <w:szCs w:val="28"/>
        </w:rPr>
        <w:t>韩国淑明女子大学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_Toc32063 </w:instrText>
      </w:r>
      <w:r>
        <w:rPr>
          <w:rFonts w:hint="eastAsia" w:ascii="楷体" w:hAnsi="楷体" w:eastAsia="楷体" w:cs="楷体"/>
          <w:sz w:val="28"/>
          <w:szCs w:val="28"/>
        </w:rPr>
        <w:fldChar w:fldCharType="separate"/>
      </w:r>
      <w:r>
        <w:rPr>
          <w:rFonts w:hint="eastAsia" w:ascii="楷体" w:hAnsi="楷体" w:eastAsia="楷体" w:cs="楷体"/>
          <w:sz w:val="28"/>
          <w:szCs w:val="28"/>
        </w:rPr>
        <w:t>20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_Toc7318 </w:instrText>
      </w:r>
      <w:r>
        <w:rPr>
          <w:rFonts w:hint="eastAsia" w:ascii="楷体" w:hAnsi="楷体" w:eastAsia="楷体" w:cs="楷体"/>
          <w:sz w:val="28"/>
          <w:szCs w:val="28"/>
        </w:rPr>
        <w:fldChar w:fldCharType="separate"/>
      </w:r>
      <w:r>
        <w:rPr>
          <w:rFonts w:hint="eastAsia" w:ascii="楷体" w:hAnsi="楷体" w:eastAsia="楷体" w:cs="楷体"/>
          <w:sz w:val="28"/>
          <w:szCs w:val="28"/>
        </w:rPr>
        <w:t>韩国祥明大学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_Toc7318 </w:instrText>
      </w:r>
      <w:r>
        <w:rPr>
          <w:rFonts w:hint="eastAsia" w:ascii="楷体" w:hAnsi="楷体" w:eastAsia="楷体" w:cs="楷体"/>
          <w:sz w:val="28"/>
          <w:szCs w:val="28"/>
        </w:rPr>
        <w:fldChar w:fldCharType="separate"/>
      </w:r>
      <w:r>
        <w:rPr>
          <w:rFonts w:hint="eastAsia" w:ascii="楷体" w:hAnsi="楷体" w:eastAsia="楷体" w:cs="楷体"/>
          <w:sz w:val="28"/>
          <w:szCs w:val="28"/>
        </w:rPr>
        <w:t>20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_Toc13471 </w:instrText>
      </w:r>
      <w:r>
        <w:rPr>
          <w:rFonts w:hint="eastAsia" w:ascii="楷体" w:hAnsi="楷体" w:eastAsia="楷体" w:cs="楷体"/>
          <w:sz w:val="28"/>
          <w:szCs w:val="28"/>
        </w:rPr>
        <w:fldChar w:fldCharType="separate"/>
      </w:r>
      <w:r>
        <w:rPr>
          <w:rFonts w:hint="eastAsia" w:ascii="楷体" w:hAnsi="楷体" w:eastAsia="楷体" w:cs="楷体"/>
          <w:sz w:val="28"/>
          <w:szCs w:val="28"/>
        </w:rPr>
        <w:t>韩国光云大学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_Toc13471 </w:instrText>
      </w:r>
      <w:r>
        <w:rPr>
          <w:rFonts w:hint="eastAsia" w:ascii="楷体" w:hAnsi="楷体" w:eastAsia="楷体" w:cs="楷体"/>
          <w:sz w:val="28"/>
          <w:szCs w:val="28"/>
        </w:rPr>
        <w:fldChar w:fldCharType="separate"/>
      </w:r>
      <w:r>
        <w:rPr>
          <w:rFonts w:hint="eastAsia" w:ascii="楷体" w:hAnsi="楷体" w:eastAsia="楷体" w:cs="楷体"/>
          <w:sz w:val="28"/>
          <w:szCs w:val="28"/>
        </w:rPr>
        <w:t>22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_Toc4939 </w:instrText>
      </w:r>
      <w:r>
        <w:rPr>
          <w:rFonts w:hint="eastAsia" w:ascii="楷体" w:hAnsi="楷体" w:eastAsia="楷体" w:cs="楷体"/>
          <w:sz w:val="28"/>
          <w:szCs w:val="28"/>
        </w:rPr>
        <w:fldChar w:fldCharType="separate"/>
      </w:r>
      <w:r>
        <w:rPr>
          <w:rFonts w:hint="eastAsia" w:ascii="楷体" w:hAnsi="楷体" w:eastAsia="楷体" w:cs="楷体"/>
          <w:sz w:val="28"/>
          <w:szCs w:val="28"/>
        </w:rPr>
        <w:t>韩国汉城大学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_Toc4939 </w:instrText>
      </w:r>
      <w:r>
        <w:rPr>
          <w:rFonts w:hint="eastAsia" w:ascii="楷体" w:hAnsi="楷体" w:eastAsia="楷体" w:cs="楷体"/>
          <w:sz w:val="28"/>
          <w:szCs w:val="28"/>
        </w:rPr>
        <w:fldChar w:fldCharType="separate"/>
      </w:r>
      <w:r>
        <w:rPr>
          <w:rFonts w:hint="eastAsia" w:ascii="楷体" w:hAnsi="楷体" w:eastAsia="楷体" w:cs="楷体"/>
          <w:sz w:val="28"/>
          <w:szCs w:val="28"/>
        </w:rPr>
        <w:t>22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_Toc10272 </w:instrText>
      </w:r>
      <w:r>
        <w:rPr>
          <w:rFonts w:hint="eastAsia" w:ascii="楷体" w:hAnsi="楷体" w:eastAsia="楷体" w:cs="楷体"/>
          <w:sz w:val="28"/>
          <w:szCs w:val="28"/>
        </w:rPr>
        <w:fldChar w:fldCharType="separate"/>
      </w:r>
      <w:r>
        <w:rPr>
          <w:rFonts w:hint="eastAsia" w:ascii="楷体" w:hAnsi="楷体" w:eastAsia="楷体" w:cs="楷体"/>
          <w:sz w:val="28"/>
          <w:szCs w:val="28"/>
        </w:rPr>
        <w:t>韩国韩巴大学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_Toc10272 </w:instrText>
      </w:r>
      <w:r>
        <w:rPr>
          <w:rFonts w:hint="eastAsia" w:ascii="楷体" w:hAnsi="楷体" w:eastAsia="楷体" w:cs="楷体"/>
          <w:sz w:val="28"/>
          <w:szCs w:val="28"/>
        </w:rPr>
        <w:fldChar w:fldCharType="separate"/>
      </w:r>
      <w:r>
        <w:rPr>
          <w:rFonts w:hint="eastAsia" w:ascii="楷体" w:hAnsi="楷体" w:eastAsia="楷体" w:cs="楷体"/>
          <w:sz w:val="28"/>
          <w:szCs w:val="28"/>
        </w:rPr>
        <w:t>23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7"/>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_Toc10118 </w:instrText>
      </w:r>
      <w:r>
        <w:rPr>
          <w:rFonts w:hint="eastAsia" w:ascii="宋体" w:hAnsi="宋体" w:eastAsia="宋体" w:cs="宋体"/>
          <w:sz w:val="32"/>
          <w:szCs w:val="32"/>
        </w:rPr>
        <w:fldChar w:fldCharType="separate"/>
      </w:r>
      <w:r>
        <w:rPr>
          <w:rFonts w:hint="eastAsia" w:ascii="宋体" w:hAnsi="宋体" w:eastAsia="宋体" w:cs="宋体"/>
          <w:sz w:val="32"/>
          <w:szCs w:val="32"/>
        </w:rPr>
        <w:t>自费项目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_Toc10118 </w:instrText>
      </w:r>
      <w:r>
        <w:rPr>
          <w:rFonts w:hint="eastAsia" w:ascii="宋体" w:hAnsi="宋体" w:eastAsia="宋体" w:cs="宋体"/>
          <w:sz w:val="32"/>
          <w:szCs w:val="32"/>
        </w:rPr>
        <w:fldChar w:fldCharType="separate"/>
      </w:r>
      <w:r>
        <w:rPr>
          <w:rFonts w:hint="eastAsia" w:ascii="宋体" w:hAnsi="宋体" w:eastAsia="宋体" w:cs="宋体"/>
          <w:sz w:val="32"/>
          <w:szCs w:val="32"/>
        </w:rPr>
        <w:t>25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_Toc15959 </w:instrText>
      </w:r>
      <w:r>
        <w:rPr>
          <w:rFonts w:hint="eastAsia" w:ascii="楷体" w:hAnsi="楷体" w:eastAsia="楷体" w:cs="楷体"/>
          <w:sz w:val="28"/>
          <w:szCs w:val="28"/>
        </w:rPr>
        <w:fldChar w:fldCharType="separate"/>
      </w:r>
      <w:r>
        <w:rPr>
          <w:rFonts w:hint="eastAsia" w:ascii="楷体" w:hAnsi="楷体" w:eastAsia="楷体" w:cs="楷体"/>
          <w:sz w:val="28"/>
          <w:szCs w:val="28"/>
        </w:rPr>
        <w:t>捷克技术大学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_Toc15959 </w:instrText>
      </w:r>
      <w:r>
        <w:rPr>
          <w:rFonts w:hint="eastAsia" w:ascii="楷体" w:hAnsi="楷体" w:eastAsia="楷体" w:cs="楷体"/>
          <w:sz w:val="28"/>
          <w:szCs w:val="28"/>
        </w:rPr>
        <w:fldChar w:fldCharType="separate"/>
      </w:r>
      <w:r>
        <w:rPr>
          <w:rFonts w:hint="eastAsia" w:ascii="楷体" w:hAnsi="楷体" w:eastAsia="楷体" w:cs="楷体"/>
          <w:sz w:val="28"/>
          <w:szCs w:val="28"/>
        </w:rPr>
        <w:t>25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_Toc3785 </w:instrText>
      </w:r>
      <w:r>
        <w:rPr>
          <w:rFonts w:hint="eastAsia" w:ascii="楷体" w:hAnsi="楷体" w:eastAsia="楷体" w:cs="楷体"/>
          <w:sz w:val="28"/>
          <w:szCs w:val="28"/>
        </w:rPr>
        <w:fldChar w:fldCharType="separate"/>
      </w:r>
      <w:r>
        <w:rPr>
          <w:rFonts w:hint="eastAsia" w:ascii="楷体" w:hAnsi="楷体" w:eastAsia="楷体" w:cs="楷体"/>
          <w:sz w:val="28"/>
          <w:szCs w:val="28"/>
        </w:rPr>
        <w:t>英国巴斯大学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_Toc3785 </w:instrText>
      </w:r>
      <w:r>
        <w:rPr>
          <w:rFonts w:hint="eastAsia" w:ascii="楷体" w:hAnsi="楷体" w:eastAsia="楷体" w:cs="楷体"/>
          <w:sz w:val="28"/>
          <w:szCs w:val="28"/>
        </w:rPr>
        <w:fldChar w:fldCharType="separate"/>
      </w:r>
      <w:r>
        <w:rPr>
          <w:rFonts w:hint="eastAsia" w:ascii="楷体" w:hAnsi="楷体" w:eastAsia="楷体" w:cs="楷体"/>
          <w:sz w:val="28"/>
          <w:szCs w:val="28"/>
        </w:rPr>
        <w:t>25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_Toc8953 </w:instrText>
      </w:r>
      <w:r>
        <w:rPr>
          <w:rFonts w:hint="eastAsia" w:ascii="楷体" w:hAnsi="楷体" w:eastAsia="楷体" w:cs="楷体"/>
          <w:sz w:val="28"/>
          <w:szCs w:val="28"/>
        </w:rPr>
        <w:fldChar w:fldCharType="separate"/>
      </w:r>
      <w:r>
        <w:rPr>
          <w:rFonts w:hint="eastAsia" w:ascii="楷体" w:hAnsi="楷体" w:eastAsia="楷体" w:cs="楷体"/>
          <w:sz w:val="28"/>
          <w:szCs w:val="28"/>
        </w:rPr>
        <w:t>美国威斯康星大学密尔沃基分校（毕业设计项目）</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_Toc8953 </w:instrText>
      </w:r>
      <w:r>
        <w:rPr>
          <w:rFonts w:hint="eastAsia" w:ascii="楷体" w:hAnsi="楷体" w:eastAsia="楷体" w:cs="楷体"/>
          <w:sz w:val="28"/>
          <w:szCs w:val="28"/>
        </w:rPr>
        <w:fldChar w:fldCharType="separate"/>
      </w:r>
      <w:r>
        <w:rPr>
          <w:rFonts w:hint="eastAsia" w:ascii="楷体" w:hAnsi="楷体" w:eastAsia="楷体" w:cs="楷体"/>
          <w:sz w:val="28"/>
          <w:szCs w:val="28"/>
        </w:rPr>
        <w:t>26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_Toc18759 </w:instrText>
      </w:r>
      <w:r>
        <w:rPr>
          <w:rFonts w:hint="eastAsia" w:ascii="楷体" w:hAnsi="楷体" w:eastAsia="楷体" w:cs="楷体"/>
          <w:sz w:val="28"/>
          <w:szCs w:val="28"/>
        </w:rPr>
        <w:fldChar w:fldCharType="separate"/>
      </w:r>
      <w:r>
        <w:rPr>
          <w:rFonts w:hint="eastAsia" w:ascii="楷体" w:hAnsi="楷体" w:eastAsia="楷体" w:cs="楷体"/>
          <w:sz w:val="28"/>
          <w:szCs w:val="28"/>
        </w:rPr>
        <w:t>美国伊利诺伊斯理工大学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_Toc18759 </w:instrText>
      </w:r>
      <w:r>
        <w:rPr>
          <w:rFonts w:hint="eastAsia" w:ascii="楷体" w:hAnsi="楷体" w:eastAsia="楷体" w:cs="楷体"/>
          <w:sz w:val="28"/>
          <w:szCs w:val="28"/>
        </w:rPr>
        <w:fldChar w:fldCharType="separate"/>
      </w:r>
      <w:r>
        <w:rPr>
          <w:rFonts w:hint="eastAsia" w:ascii="楷体" w:hAnsi="楷体" w:eastAsia="楷体" w:cs="楷体"/>
          <w:sz w:val="28"/>
          <w:szCs w:val="28"/>
        </w:rPr>
        <w:t>28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_Toc4979 </w:instrText>
      </w:r>
      <w:r>
        <w:rPr>
          <w:rFonts w:hint="eastAsia" w:ascii="楷体" w:hAnsi="楷体" w:eastAsia="楷体" w:cs="楷体"/>
          <w:sz w:val="28"/>
          <w:szCs w:val="28"/>
        </w:rPr>
        <w:fldChar w:fldCharType="separate"/>
      </w:r>
      <w:r>
        <w:rPr>
          <w:rFonts w:hint="eastAsia" w:ascii="楷体" w:hAnsi="楷体" w:eastAsia="楷体" w:cs="楷体"/>
          <w:sz w:val="28"/>
          <w:szCs w:val="28"/>
        </w:rPr>
        <w:t>美国密歇根大学德尔本校区</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_Toc4979 </w:instrText>
      </w:r>
      <w:r>
        <w:rPr>
          <w:rFonts w:hint="eastAsia" w:ascii="楷体" w:hAnsi="楷体" w:eastAsia="楷体" w:cs="楷体"/>
          <w:sz w:val="28"/>
          <w:szCs w:val="28"/>
        </w:rPr>
        <w:fldChar w:fldCharType="separate"/>
      </w:r>
      <w:r>
        <w:rPr>
          <w:rFonts w:hint="eastAsia" w:ascii="楷体" w:hAnsi="楷体" w:eastAsia="楷体" w:cs="楷体"/>
          <w:sz w:val="28"/>
          <w:szCs w:val="28"/>
        </w:rPr>
        <w:t>29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_Toc3224 </w:instrText>
      </w:r>
      <w:r>
        <w:rPr>
          <w:rFonts w:hint="eastAsia" w:ascii="楷体" w:hAnsi="楷体" w:eastAsia="楷体" w:cs="楷体"/>
          <w:sz w:val="28"/>
          <w:szCs w:val="28"/>
        </w:rPr>
        <w:fldChar w:fldCharType="separate"/>
      </w:r>
      <w:r>
        <w:rPr>
          <w:rFonts w:hint="eastAsia" w:ascii="楷体" w:hAnsi="楷体" w:eastAsia="楷体" w:cs="楷体"/>
          <w:sz w:val="28"/>
          <w:szCs w:val="28"/>
        </w:rPr>
        <w:t>美国普渡大学西北校区</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_Toc3224 </w:instrText>
      </w:r>
      <w:r>
        <w:rPr>
          <w:rFonts w:hint="eastAsia" w:ascii="楷体" w:hAnsi="楷体" w:eastAsia="楷体" w:cs="楷体"/>
          <w:sz w:val="28"/>
          <w:szCs w:val="28"/>
        </w:rPr>
        <w:fldChar w:fldCharType="separate"/>
      </w:r>
      <w:r>
        <w:rPr>
          <w:rFonts w:hint="eastAsia" w:ascii="楷体" w:hAnsi="楷体" w:eastAsia="楷体" w:cs="楷体"/>
          <w:sz w:val="28"/>
          <w:szCs w:val="28"/>
        </w:rPr>
        <w:t>30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_Toc11610 </w:instrText>
      </w:r>
      <w:r>
        <w:rPr>
          <w:rFonts w:hint="eastAsia" w:ascii="楷体" w:hAnsi="楷体" w:eastAsia="楷体" w:cs="楷体"/>
          <w:sz w:val="28"/>
          <w:szCs w:val="28"/>
        </w:rPr>
        <w:fldChar w:fldCharType="separate"/>
      </w:r>
      <w:r>
        <w:rPr>
          <w:rFonts w:hint="eastAsia" w:ascii="楷体" w:hAnsi="楷体" w:eastAsia="楷体" w:cs="楷体"/>
          <w:sz w:val="28"/>
          <w:szCs w:val="28"/>
        </w:rPr>
        <w:t>美国北科罗拉多大学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_Toc11610 </w:instrText>
      </w:r>
      <w:r>
        <w:rPr>
          <w:rFonts w:hint="eastAsia" w:ascii="楷体" w:hAnsi="楷体" w:eastAsia="楷体" w:cs="楷体"/>
          <w:sz w:val="28"/>
          <w:szCs w:val="28"/>
        </w:rPr>
        <w:fldChar w:fldCharType="separate"/>
      </w:r>
      <w:r>
        <w:rPr>
          <w:rFonts w:hint="eastAsia" w:ascii="楷体" w:hAnsi="楷体" w:eastAsia="楷体" w:cs="楷体"/>
          <w:sz w:val="28"/>
          <w:szCs w:val="28"/>
        </w:rPr>
        <w:t>31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_Toc11510 </w:instrText>
      </w:r>
      <w:r>
        <w:rPr>
          <w:rFonts w:hint="eastAsia" w:ascii="楷体" w:hAnsi="楷体" w:eastAsia="楷体" w:cs="楷体"/>
          <w:sz w:val="28"/>
          <w:szCs w:val="28"/>
        </w:rPr>
        <w:fldChar w:fldCharType="separate"/>
      </w:r>
      <w:r>
        <w:rPr>
          <w:rFonts w:hint="eastAsia" w:ascii="楷体" w:hAnsi="楷体" w:eastAsia="楷体" w:cs="楷体"/>
          <w:sz w:val="28"/>
          <w:szCs w:val="28"/>
        </w:rPr>
        <w:t>美国纽黑文大学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_Toc11510 </w:instrText>
      </w:r>
      <w:r>
        <w:rPr>
          <w:rFonts w:hint="eastAsia" w:ascii="楷体" w:hAnsi="楷体" w:eastAsia="楷体" w:cs="楷体"/>
          <w:sz w:val="28"/>
          <w:szCs w:val="28"/>
        </w:rPr>
        <w:fldChar w:fldCharType="separate"/>
      </w:r>
      <w:r>
        <w:rPr>
          <w:rFonts w:hint="eastAsia" w:ascii="楷体" w:hAnsi="楷体" w:eastAsia="楷体" w:cs="楷体"/>
          <w:sz w:val="28"/>
          <w:szCs w:val="28"/>
        </w:rPr>
        <w:t>32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_Toc13607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澳大利亚昆士兰大学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_Toc13607 </w:instrText>
      </w:r>
      <w:r>
        <w:rPr>
          <w:rFonts w:hint="eastAsia" w:ascii="楷体" w:hAnsi="楷体" w:eastAsia="楷体" w:cs="楷体"/>
          <w:sz w:val="28"/>
          <w:szCs w:val="28"/>
        </w:rPr>
        <w:fldChar w:fldCharType="separate"/>
      </w:r>
      <w:r>
        <w:rPr>
          <w:rFonts w:hint="eastAsia" w:ascii="楷体" w:hAnsi="楷体" w:eastAsia="楷体" w:cs="楷体"/>
          <w:sz w:val="28"/>
          <w:szCs w:val="28"/>
        </w:rPr>
        <w:t>33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_Toc16755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澳大利亚新南威尔士大学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_Toc16755 </w:instrText>
      </w:r>
      <w:r>
        <w:rPr>
          <w:rFonts w:hint="eastAsia" w:ascii="楷体" w:hAnsi="楷体" w:eastAsia="楷体" w:cs="楷体"/>
          <w:sz w:val="28"/>
          <w:szCs w:val="28"/>
        </w:rPr>
        <w:fldChar w:fldCharType="separate"/>
      </w:r>
      <w:r>
        <w:rPr>
          <w:rFonts w:hint="eastAsia" w:ascii="楷体" w:hAnsi="楷体" w:eastAsia="楷体" w:cs="楷体"/>
          <w:sz w:val="28"/>
          <w:szCs w:val="28"/>
        </w:rPr>
        <w:t>34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_Toc16421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澳大利亚纽卡斯尔大学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_Toc16421 </w:instrText>
      </w:r>
      <w:r>
        <w:rPr>
          <w:rFonts w:hint="eastAsia" w:ascii="楷体" w:hAnsi="楷体" w:eastAsia="楷体" w:cs="楷体"/>
          <w:sz w:val="28"/>
          <w:szCs w:val="28"/>
        </w:rPr>
        <w:fldChar w:fldCharType="separate"/>
      </w:r>
      <w:r>
        <w:rPr>
          <w:rFonts w:hint="eastAsia" w:ascii="楷体" w:hAnsi="楷体" w:eastAsia="楷体" w:cs="楷体"/>
          <w:sz w:val="28"/>
          <w:szCs w:val="28"/>
        </w:rPr>
        <w:t>35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_Toc25284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澳大利亚昆士兰科技大学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_Toc25284 </w:instrText>
      </w:r>
      <w:r>
        <w:rPr>
          <w:rFonts w:hint="eastAsia" w:ascii="楷体" w:hAnsi="楷体" w:eastAsia="楷体" w:cs="楷体"/>
          <w:sz w:val="28"/>
          <w:szCs w:val="28"/>
        </w:rPr>
        <w:fldChar w:fldCharType="separate"/>
      </w:r>
      <w:r>
        <w:rPr>
          <w:rFonts w:hint="eastAsia" w:ascii="楷体" w:hAnsi="楷体" w:eastAsia="楷体" w:cs="楷体"/>
          <w:sz w:val="28"/>
          <w:szCs w:val="28"/>
        </w:rPr>
        <w:t>36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_Toc17014 </w:instrText>
      </w:r>
      <w:r>
        <w:rPr>
          <w:rFonts w:hint="eastAsia" w:ascii="楷体" w:hAnsi="楷体" w:eastAsia="楷体" w:cs="楷体"/>
          <w:sz w:val="28"/>
          <w:szCs w:val="28"/>
        </w:rPr>
        <w:fldChar w:fldCharType="separate"/>
      </w:r>
      <w:r>
        <w:rPr>
          <w:rFonts w:hint="eastAsia" w:ascii="楷体" w:hAnsi="楷体" w:eastAsia="楷体" w:cs="楷体"/>
          <w:sz w:val="28"/>
          <w:szCs w:val="28"/>
        </w:rPr>
        <w:t>新西兰惠灵顿维多利亚大学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_Toc17014 </w:instrText>
      </w:r>
      <w:r>
        <w:rPr>
          <w:rFonts w:hint="eastAsia" w:ascii="楷体" w:hAnsi="楷体" w:eastAsia="楷体" w:cs="楷体"/>
          <w:sz w:val="28"/>
          <w:szCs w:val="28"/>
        </w:rPr>
        <w:fldChar w:fldCharType="separate"/>
      </w:r>
      <w:r>
        <w:rPr>
          <w:rFonts w:hint="eastAsia" w:ascii="楷体" w:hAnsi="楷体" w:eastAsia="楷体" w:cs="楷体"/>
          <w:sz w:val="28"/>
          <w:szCs w:val="28"/>
        </w:rPr>
        <w:t>37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_Toc8605 </w:instrText>
      </w:r>
      <w:r>
        <w:rPr>
          <w:rFonts w:hint="eastAsia" w:ascii="楷体" w:hAnsi="楷体" w:eastAsia="楷体" w:cs="楷体"/>
          <w:sz w:val="28"/>
          <w:szCs w:val="28"/>
        </w:rPr>
        <w:fldChar w:fldCharType="separate"/>
      </w:r>
      <w:r>
        <w:rPr>
          <w:rFonts w:hint="eastAsia" w:ascii="楷体" w:hAnsi="楷体" w:eastAsia="楷体" w:cs="楷体"/>
          <w:sz w:val="28"/>
          <w:szCs w:val="28"/>
        </w:rPr>
        <w:t>马来西亚马来亚大学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_Toc8605 </w:instrText>
      </w:r>
      <w:r>
        <w:rPr>
          <w:rFonts w:hint="eastAsia" w:ascii="楷体" w:hAnsi="楷体" w:eastAsia="楷体" w:cs="楷体"/>
          <w:sz w:val="28"/>
          <w:szCs w:val="28"/>
        </w:rPr>
        <w:fldChar w:fldCharType="separate"/>
      </w:r>
      <w:r>
        <w:rPr>
          <w:rFonts w:hint="eastAsia" w:ascii="楷体" w:hAnsi="楷体" w:eastAsia="楷体" w:cs="楷体"/>
          <w:sz w:val="28"/>
          <w:szCs w:val="28"/>
        </w:rPr>
        <w:t>38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9"/>
      </w:pPr>
      <w:r>
        <w:fldChar w:fldCharType="end"/>
      </w:r>
      <w:bookmarkStart w:id="0" w:name="_Toc23179"/>
    </w:p>
    <w:p>
      <w:pPr>
        <w:pStyle w:val="29"/>
      </w:pPr>
    </w:p>
    <w:p>
      <w:pPr>
        <w:pStyle w:val="29"/>
      </w:pPr>
    </w:p>
    <w:p>
      <w:pPr>
        <w:pStyle w:val="29"/>
      </w:pPr>
    </w:p>
    <w:p>
      <w:pPr>
        <w:pStyle w:val="29"/>
        <w:rPr>
          <w:rFonts w:ascii="仿宋" w:hAnsi="仿宋" w:eastAsia="仿宋" w:cs="宋体"/>
          <w:color w:val="000000" w:themeColor="text1"/>
          <w:sz w:val="44"/>
          <w:szCs w:val="44"/>
          <w14:textFill>
            <w14:solidFill>
              <w14:schemeClr w14:val="tx1"/>
            </w14:solidFill>
          </w14:textFill>
        </w:rPr>
      </w:pPr>
      <w:r>
        <w:rPr>
          <w:rFonts w:hint="eastAsia"/>
        </w:rPr>
        <w:t>国家公派项目</w:t>
      </w:r>
      <w:bookmarkEnd w:id="0"/>
    </w:p>
    <w:p>
      <w:pPr>
        <w:pStyle w:val="4"/>
        <w:jc w:val="center"/>
        <w:rPr>
          <w:rFonts w:ascii="仿宋" w:hAnsi="仿宋" w:eastAsia="仿宋"/>
          <w:sz w:val="36"/>
          <w:szCs w:val="36"/>
        </w:rPr>
      </w:pPr>
      <w:bookmarkStart w:id="1" w:name="_Toc19693"/>
      <w:r>
        <w:rPr>
          <w:rFonts w:hint="eastAsia" w:ascii="仿宋" w:hAnsi="仿宋" w:eastAsia="仿宋"/>
          <w:sz w:val="36"/>
          <w:szCs w:val="36"/>
        </w:rPr>
        <w:t>俄罗斯莫斯科动力学院</w:t>
      </w:r>
      <w:bookmarkEnd w:id="1"/>
    </w:p>
    <w:p>
      <w:pPr>
        <w:rPr>
          <w:rFonts w:ascii="仿宋" w:hAnsi="仿宋" w:eastAsia="仿宋" w:cs="宋体"/>
          <w:color w:val="000000" w:themeColor="text1"/>
          <w:sz w:val="24"/>
          <w14:textFill>
            <w14:solidFill>
              <w14:schemeClr w14:val="tx1"/>
            </w14:solidFill>
          </w14:textFill>
        </w:rPr>
      </w:pPr>
    </w:p>
    <w:tbl>
      <w:tblPr>
        <w:tblStyle w:val="3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项目名称</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上合组织大学框架下高层次能源电力人才培养项目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项目内容</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一、二年级在华电学习</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三、四年级在俄罗斯莫斯科动力学院学习</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本科毕业获得华北电力大学，莫斯科动力学院双学位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选派专业及人数</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电气工程及其自动化：10人</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热能与动力工程：    10人</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核工程与核技术：    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选派类别</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2+2联合培养双学士学位</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符合条件</w:t>
            </w:r>
            <w:r>
              <w:rPr>
                <w:rFonts w:ascii="仿宋" w:hAnsi="仿宋" w:eastAsia="仿宋" w:cs="宋体"/>
                <w:color w:val="000000" w:themeColor="text1"/>
                <w:szCs w:val="28"/>
                <w:shd w:val="clear" w:color="auto" w:fill="FFFFFF"/>
                <w14:textFill>
                  <w14:solidFill>
                    <w14:schemeClr w14:val="tx1"/>
                  </w14:solidFill>
                </w14:textFill>
              </w:rPr>
              <w:t>的同学可继续</w:t>
            </w:r>
            <w:r>
              <w:rPr>
                <w:rFonts w:hint="eastAsia" w:ascii="仿宋" w:hAnsi="仿宋" w:eastAsia="仿宋" w:cs="宋体"/>
                <w:color w:val="000000" w:themeColor="text1"/>
                <w:szCs w:val="28"/>
                <w:shd w:val="clear" w:color="auto" w:fill="FFFFFF"/>
                <w14:textFill>
                  <w14:solidFill>
                    <w14:schemeClr w14:val="tx1"/>
                  </w14:solidFill>
                </w14:textFill>
              </w:rPr>
              <w:t>通过</w:t>
            </w:r>
            <w:r>
              <w:rPr>
                <w:rFonts w:ascii="仿宋" w:hAnsi="仿宋" w:eastAsia="仿宋" w:cs="宋体"/>
                <w:color w:val="000000" w:themeColor="text1"/>
                <w:szCs w:val="28"/>
                <w:shd w:val="clear" w:color="auto" w:fill="FFFFFF"/>
                <w14:textFill>
                  <w14:solidFill>
                    <w14:schemeClr w14:val="tx1"/>
                  </w14:solidFill>
                </w14:textFill>
              </w:rPr>
              <w:t>两校间项目申请硕士研究生，博士研究生</w:t>
            </w:r>
            <w:r>
              <w:rPr>
                <w:rFonts w:hint="eastAsia" w:ascii="仿宋" w:hAnsi="仿宋" w:eastAsia="仿宋" w:cs="宋体"/>
                <w:color w:val="000000" w:themeColor="text1"/>
                <w:szCs w:val="28"/>
                <w:shd w:val="clear" w:color="auto" w:fill="FFFFFF"/>
                <w14:textFill>
                  <w14:solidFill>
                    <w14:schemeClr w14:val="tx1"/>
                  </w14:solidFill>
                </w14:textFill>
              </w:rPr>
              <w:t>，同时</w:t>
            </w:r>
            <w:r>
              <w:rPr>
                <w:rFonts w:ascii="仿宋" w:hAnsi="仿宋" w:eastAsia="仿宋" w:cs="宋体"/>
                <w:color w:val="000000" w:themeColor="text1"/>
                <w:szCs w:val="28"/>
                <w:shd w:val="clear" w:color="auto" w:fill="FFFFFF"/>
                <w14:textFill>
                  <w14:solidFill>
                    <w14:schemeClr w14:val="tx1"/>
                  </w14:solidFill>
                </w14:textFill>
              </w:rPr>
              <w:t>申请</w:t>
            </w:r>
            <w:r>
              <w:rPr>
                <w:rFonts w:hint="eastAsia" w:ascii="仿宋" w:hAnsi="仿宋" w:eastAsia="仿宋" w:cs="宋体"/>
                <w:color w:val="000000" w:themeColor="text1"/>
                <w:szCs w:val="28"/>
                <w:shd w:val="clear" w:color="auto" w:fill="FFFFFF"/>
                <w14:textFill>
                  <w14:solidFill>
                    <w14:schemeClr w14:val="tx1"/>
                  </w14:solidFill>
                </w14:textFill>
              </w:rPr>
              <w:t>国家留学基金委</w:t>
            </w:r>
            <w:r>
              <w:rPr>
                <w:rFonts w:ascii="仿宋" w:hAnsi="仿宋" w:eastAsia="仿宋" w:cs="宋体"/>
                <w:color w:val="000000" w:themeColor="text1"/>
                <w:szCs w:val="28"/>
                <w:shd w:val="clear" w:color="auto" w:fill="FFFFFF"/>
                <w14:textFill>
                  <w14:solidFill>
                    <w14:schemeClr w14:val="tx1"/>
                  </w14:solidFill>
                </w14:textFill>
              </w:rPr>
              <w:t>奖学金</w:t>
            </w:r>
            <w:r>
              <w:rPr>
                <w:rFonts w:hint="eastAsia" w:ascii="仿宋" w:hAnsi="仿宋" w:eastAsia="仿宋" w:cs="宋体"/>
                <w:color w:val="000000" w:themeColor="text1"/>
                <w:szCs w:val="28"/>
                <w:shd w:val="clear" w:color="auto" w:fill="FFFFFF"/>
                <w14:textFill>
                  <w14:solidFill>
                    <w14:schemeClr w14:val="tx1"/>
                  </w14:solidFill>
                </w14:textFill>
              </w:rPr>
              <w:t>资助</w:t>
            </w:r>
            <w:r>
              <w:rPr>
                <w:rFonts w:ascii="仿宋" w:hAnsi="仿宋" w:eastAsia="仿宋" w:cs="宋体"/>
                <w:color w:val="000000" w:themeColor="text1"/>
                <w:szCs w:val="28"/>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交流期限</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所需费用</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俄方学费约25000元人民币每年；</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俄方住宿费：根据莫斯科动力学院住宿标准收取；</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详情请参照https://www.mpei.ru/pages/default.aspx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资助</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一次性往返机票及赴俄学习专项奖学金（约1100美元/月）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申请条件</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（1）热爱社会主义祖国，具有良好的政治和专业素质</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（2）在校一年级本科生</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（3）品学兼优,身心健康</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（4）有较强的外语学习能力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报名方式及时间</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学生向所在院系申请报名，相关院系将报名汇总信息于2021年3月19日前报至国际合作处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语言要求</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进入初选名单的学生，学校会安排俄语强化培训；</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学生在赴俄罗斯学习之前，俄语水平须达到莫斯科动力学院的入学要求；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选拔流程</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全校统一组织考试，考试内容为高等数学、大学物理、英语；考试成绩的前40名同学进入初选名单；40名学生在华电完成俄语</w:t>
            </w:r>
            <w:r>
              <w:rPr>
                <w:rFonts w:ascii="仿宋" w:hAnsi="仿宋" w:eastAsia="仿宋" w:cs="宋体"/>
                <w:color w:val="000000" w:themeColor="text1"/>
                <w:szCs w:val="28"/>
                <w:shd w:val="clear" w:color="auto" w:fill="FFFFFF"/>
                <w14:textFill>
                  <w14:solidFill>
                    <w14:schemeClr w14:val="tx1"/>
                  </w14:solidFill>
                </w14:textFill>
              </w:rPr>
              <w:t>及莫动要求的相关</w:t>
            </w:r>
            <w:r>
              <w:rPr>
                <w:rFonts w:hint="eastAsia" w:ascii="仿宋" w:hAnsi="仿宋" w:eastAsia="仿宋" w:cs="宋体"/>
                <w:color w:val="000000" w:themeColor="text1"/>
                <w:szCs w:val="28"/>
                <w:shd w:val="clear" w:color="auto" w:fill="FFFFFF"/>
                <w14:textFill>
                  <w14:solidFill>
                    <w14:schemeClr w14:val="tx1"/>
                  </w14:solidFill>
                </w14:textFill>
              </w:rPr>
              <w:t>学习内容，根据学习成绩择</w:t>
            </w:r>
            <w:r>
              <w:rPr>
                <w:rFonts w:ascii="仿宋" w:hAnsi="仿宋" w:eastAsia="仿宋" w:cs="宋体"/>
                <w:color w:val="000000" w:themeColor="text1"/>
                <w:szCs w:val="28"/>
                <w:shd w:val="clear" w:color="auto" w:fill="FFFFFF"/>
                <w14:textFill>
                  <w14:solidFill>
                    <w14:schemeClr w14:val="tx1"/>
                  </w14:solidFill>
                </w14:textFill>
              </w:rPr>
              <w:t>前</w:t>
            </w:r>
            <w:r>
              <w:rPr>
                <w:rFonts w:hint="eastAsia" w:ascii="仿宋" w:hAnsi="仿宋" w:eastAsia="仿宋" w:cs="宋体"/>
                <w:color w:val="000000" w:themeColor="text1"/>
                <w:szCs w:val="28"/>
                <w:shd w:val="clear" w:color="auto" w:fill="FFFFFF"/>
                <w14:textFill>
                  <w14:solidFill>
                    <w14:schemeClr w14:val="tx1"/>
                  </w14:solidFill>
                </w14:textFill>
              </w:rPr>
              <w:t>25名学生进入终选名单并派出。（2021级学生将于2022年秋季派出，以此类推）。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交流学校介绍</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莫斯科动力学院，是前国家总理李鹏留俄读书的母校，是前苏联最著名的大学之一。成立于1930年成立，学校在能源、电气工程、核电、无线电工程、电子学、信息学与计算机技术领域教学成绩突出。2019年莫斯科动力学院泰晤士俄罗斯大学排名第22名。主要院系有：电机工业、电机学与电工艺系、电能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报名咨询方式</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北京校部</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联系人：李芊芊</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电话：010-61772049</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地址：主楼D-837</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邮箱：</w:t>
            </w:r>
            <w:r>
              <w:rPr>
                <w:rFonts w:ascii="仿宋" w:hAnsi="仿宋" w:eastAsia="仿宋" w:cs="宋体"/>
                <w:color w:val="000000" w:themeColor="text1"/>
                <w:szCs w:val="28"/>
                <w:shd w:val="clear" w:color="auto" w:fill="FFFFFF"/>
                <w14:textFill>
                  <w14:solidFill>
                    <w14:schemeClr w14:val="tx1"/>
                  </w14:solidFill>
                </w14:textFill>
              </w:rPr>
              <w:t>lqq</w:t>
            </w:r>
            <w:r>
              <w:rPr>
                <w:rFonts w:hint="eastAsia" w:ascii="仿宋" w:hAnsi="仿宋" w:eastAsia="仿宋" w:cs="宋体"/>
                <w:color w:val="000000" w:themeColor="text1"/>
                <w:szCs w:val="28"/>
                <w:shd w:val="clear" w:color="auto" w:fill="FFFFFF"/>
                <w14:textFill>
                  <w14:solidFill>
                    <w14:schemeClr w14:val="tx1"/>
                  </w14:solidFill>
                </w14:textFill>
              </w:rPr>
              <w:t>@ncepu.edu.cn</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保定校区</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联系人：张大超</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电话：0312-</w:t>
            </w:r>
            <w:r>
              <w:rPr>
                <w:rFonts w:ascii="仿宋" w:hAnsi="仿宋" w:eastAsia="仿宋" w:cs="宋体"/>
                <w:color w:val="000000" w:themeColor="text1"/>
                <w:szCs w:val="28"/>
                <w:shd w:val="clear" w:color="auto" w:fill="FFFFFF"/>
                <w14:textFill>
                  <w14:solidFill>
                    <w14:schemeClr w14:val="tx1"/>
                  </w14:solidFill>
                </w14:textFill>
              </w:rPr>
              <w:t>7522207</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地址：一校区</w:t>
            </w:r>
            <w:r>
              <w:rPr>
                <w:rFonts w:ascii="仿宋" w:hAnsi="仿宋" w:eastAsia="仿宋" w:cs="宋体"/>
                <w:color w:val="000000" w:themeColor="text1"/>
                <w:szCs w:val="28"/>
                <w:shd w:val="clear" w:color="auto" w:fill="FFFFFF"/>
                <w14:textFill>
                  <w14:solidFill>
                    <w14:schemeClr w14:val="tx1"/>
                  </w14:solidFill>
                </w14:textFill>
              </w:rPr>
              <w:t>综合楼709</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邮箱：zdc@ncepu.edu.cn</w:t>
            </w:r>
          </w:p>
        </w:tc>
      </w:tr>
    </w:tbl>
    <w:p>
      <w:pPr>
        <w:pStyle w:val="4"/>
        <w:jc w:val="center"/>
        <w:rPr>
          <w:rFonts w:ascii="仿宋" w:hAnsi="仿宋" w:eastAsia="仿宋"/>
          <w:sz w:val="36"/>
          <w:szCs w:val="36"/>
        </w:rPr>
      </w:pPr>
    </w:p>
    <w:p>
      <w:pPr>
        <w:pStyle w:val="4"/>
        <w:jc w:val="center"/>
        <w:rPr>
          <w:rFonts w:ascii="仿宋" w:hAnsi="仿宋" w:eastAsia="仿宋"/>
          <w:sz w:val="36"/>
          <w:szCs w:val="36"/>
        </w:rPr>
      </w:pPr>
      <w:bookmarkStart w:id="2" w:name="_Toc8389"/>
      <w:r>
        <w:rPr>
          <w:rFonts w:hint="eastAsia" w:ascii="仿宋" w:hAnsi="仿宋" w:eastAsia="仿宋"/>
          <w:sz w:val="36"/>
          <w:szCs w:val="36"/>
        </w:rPr>
        <w:t>俄罗斯新西伯利亚国立大学</w:t>
      </w:r>
      <w:bookmarkEnd w:id="2"/>
    </w:p>
    <w:tbl>
      <w:tblPr>
        <w:tblStyle w:val="3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项目名称</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华北电力大学-俄罗斯新西伯利亚国立大学本科联合培养项目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项目内容</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一、二年级在华电学习</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三、四年级在新西伯利亚国立大学学习</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本科毕业获得华北电力大学，新西伯利亚国立大学双学位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选派专业及人数</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数学：8人（北京校部和保定校区各4人）</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自动化：6人（北京校部和保定校区各3人）</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计算机科学：6人（北京校部和保定校区各3人）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选派类别</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2+2联合培养双学士学位</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符合条件</w:t>
            </w:r>
            <w:r>
              <w:rPr>
                <w:rFonts w:ascii="仿宋" w:hAnsi="仿宋" w:eastAsia="仿宋" w:cs="宋体"/>
                <w:color w:val="000000" w:themeColor="text1"/>
                <w:szCs w:val="28"/>
                <w:shd w:val="clear" w:color="auto" w:fill="FFFFFF"/>
                <w14:textFill>
                  <w14:solidFill>
                    <w14:schemeClr w14:val="tx1"/>
                  </w14:solidFill>
                </w14:textFill>
              </w:rPr>
              <w:t>的同学可继续</w:t>
            </w:r>
            <w:r>
              <w:rPr>
                <w:rFonts w:hint="eastAsia" w:ascii="仿宋" w:hAnsi="仿宋" w:eastAsia="仿宋" w:cs="宋体"/>
                <w:color w:val="000000" w:themeColor="text1"/>
                <w:szCs w:val="28"/>
                <w:shd w:val="clear" w:color="auto" w:fill="FFFFFF"/>
                <w14:textFill>
                  <w14:solidFill>
                    <w14:schemeClr w14:val="tx1"/>
                  </w14:solidFill>
                </w14:textFill>
              </w:rPr>
              <w:t>通过</w:t>
            </w:r>
            <w:r>
              <w:rPr>
                <w:rFonts w:ascii="仿宋" w:hAnsi="仿宋" w:eastAsia="仿宋" w:cs="宋体"/>
                <w:color w:val="000000" w:themeColor="text1"/>
                <w:szCs w:val="28"/>
                <w:shd w:val="clear" w:color="auto" w:fill="FFFFFF"/>
                <w14:textFill>
                  <w14:solidFill>
                    <w14:schemeClr w14:val="tx1"/>
                  </w14:solidFill>
                </w14:textFill>
              </w:rPr>
              <w:t>两校间项目申请硕士研究生，博士研究生</w:t>
            </w:r>
            <w:r>
              <w:rPr>
                <w:rFonts w:hint="eastAsia" w:ascii="仿宋" w:hAnsi="仿宋" w:eastAsia="仿宋" w:cs="宋体"/>
                <w:color w:val="000000" w:themeColor="text1"/>
                <w:szCs w:val="28"/>
                <w:shd w:val="clear" w:color="auto" w:fill="FFFFFF"/>
                <w14:textFill>
                  <w14:solidFill>
                    <w14:schemeClr w14:val="tx1"/>
                  </w14:solidFill>
                </w14:textFill>
              </w:rPr>
              <w:t>，同时</w:t>
            </w:r>
            <w:r>
              <w:rPr>
                <w:rFonts w:ascii="仿宋" w:hAnsi="仿宋" w:eastAsia="仿宋" w:cs="宋体"/>
                <w:color w:val="000000" w:themeColor="text1"/>
                <w:szCs w:val="28"/>
                <w:shd w:val="clear" w:color="auto" w:fill="FFFFFF"/>
                <w14:textFill>
                  <w14:solidFill>
                    <w14:schemeClr w14:val="tx1"/>
                  </w14:solidFill>
                </w14:textFill>
              </w:rPr>
              <w:t>申请</w:t>
            </w:r>
            <w:r>
              <w:rPr>
                <w:rFonts w:hint="eastAsia" w:ascii="仿宋" w:hAnsi="仿宋" w:eastAsia="仿宋" w:cs="宋体"/>
                <w:color w:val="000000" w:themeColor="text1"/>
                <w:szCs w:val="28"/>
                <w:shd w:val="clear" w:color="auto" w:fill="FFFFFF"/>
                <w14:textFill>
                  <w14:solidFill>
                    <w14:schemeClr w14:val="tx1"/>
                  </w14:solidFill>
                </w14:textFill>
              </w:rPr>
              <w:t>国家留学基金委</w:t>
            </w:r>
            <w:r>
              <w:rPr>
                <w:rFonts w:ascii="仿宋" w:hAnsi="仿宋" w:eastAsia="仿宋" w:cs="宋体"/>
                <w:color w:val="000000" w:themeColor="text1"/>
                <w:szCs w:val="28"/>
                <w:shd w:val="clear" w:color="auto" w:fill="FFFFFF"/>
                <w14:textFill>
                  <w14:solidFill>
                    <w14:schemeClr w14:val="tx1"/>
                  </w14:solidFill>
                </w14:textFill>
              </w:rPr>
              <w:t>奖学金</w:t>
            </w:r>
            <w:r>
              <w:rPr>
                <w:rFonts w:hint="eastAsia" w:ascii="仿宋" w:hAnsi="仿宋" w:eastAsia="仿宋" w:cs="宋体"/>
                <w:color w:val="000000" w:themeColor="text1"/>
                <w:szCs w:val="28"/>
                <w:shd w:val="clear" w:color="auto" w:fill="FFFFFF"/>
                <w14:textFill>
                  <w14:solidFill>
                    <w14:schemeClr w14:val="tx1"/>
                  </w14:solidFill>
                </w14:textFill>
              </w:rPr>
              <w:t>资助</w:t>
            </w:r>
            <w:r>
              <w:rPr>
                <w:rFonts w:ascii="仿宋" w:hAnsi="仿宋" w:eastAsia="仿宋" w:cs="宋体"/>
                <w:color w:val="000000" w:themeColor="text1"/>
                <w:szCs w:val="28"/>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交流期限</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所需费用</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俄方学费约30000元人民币每年；</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俄方住宿费：根据新西伯利亚国立大学住宿标准收取；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资助</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一次性往返机票及赴俄学习专项奖学金（约1100美元/月）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申请条件</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（1）热爱社会主义祖国，具有良好的政治和专业素质</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（2）在校一年级本科生</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（3）品学兼优,身心健康</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（4）有较强的外语学习能力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报名方式及时间</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学生向所在院系申请报名，相关院系将报名汇总信息于2021年3月19日前报至国际合作处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语言要求</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进入初选名单的学生，学校会安排俄语强化培训；</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学生在赴俄罗斯学习之前，俄语水平须达新西伯利亚国立大学的入学要求；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选拔流程</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选拔26名学生在华电完成俄语</w:t>
            </w:r>
            <w:r>
              <w:rPr>
                <w:rFonts w:ascii="仿宋" w:hAnsi="仿宋" w:eastAsia="仿宋" w:cs="宋体"/>
                <w:color w:val="000000" w:themeColor="text1"/>
                <w:szCs w:val="28"/>
                <w:shd w:val="clear" w:color="auto" w:fill="FFFFFF"/>
                <w14:textFill>
                  <w14:solidFill>
                    <w14:schemeClr w14:val="tx1"/>
                  </w14:solidFill>
                </w14:textFill>
              </w:rPr>
              <w:t>及</w:t>
            </w:r>
            <w:r>
              <w:rPr>
                <w:rFonts w:hint="eastAsia" w:ascii="仿宋" w:hAnsi="仿宋" w:eastAsia="仿宋" w:cs="宋体"/>
                <w:color w:val="000000" w:themeColor="text1"/>
                <w:szCs w:val="28"/>
                <w:shd w:val="clear" w:color="auto" w:fill="FFFFFF"/>
                <w14:textFill>
                  <w14:solidFill>
                    <w14:schemeClr w14:val="tx1"/>
                  </w14:solidFill>
                </w14:textFill>
              </w:rPr>
              <w:t>NSU</w:t>
            </w:r>
            <w:r>
              <w:rPr>
                <w:rFonts w:ascii="仿宋" w:hAnsi="仿宋" w:eastAsia="仿宋" w:cs="宋体"/>
                <w:color w:val="000000" w:themeColor="text1"/>
                <w:szCs w:val="28"/>
                <w:shd w:val="clear" w:color="auto" w:fill="FFFFFF"/>
                <w14:textFill>
                  <w14:solidFill>
                    <w14:schemeClr w14:val="tx1"/>
                  </w14:solidFill>
                </w14:textFill>
              </w:rPr>
              <w:t>要求的相关</w:t>
            </w:r>
            <w:r>
              <w:rPr>
                <w:rFonts w:hint="eastAsia" w:ascii="仿宋" w:hAnsi="仿宋" w:eastAsia="仿宋" w:cs="宋体"/>
                <w:color w:val="000000" w:themeColor="text1"/>
                <w:szCs w:val="28"/>
                <w:shd w:val="clear" w:color="auto" w:fill="FFFFFF"/>
                <w14:textFill>
                  <w14:solidFill>
                    <w14:schemeClr w14:val="tx1"/>
                  </w14:solidFill>
                </w14:textFill>
              </w:rPr>
              <w:t>学习内容，根据学习成绩择</w:t>
            </w:r>
            <w:r>
              <w:rPr>
                <w:rFonts w:ascii="仿宋" w:hAnsi="仿宋" w:eastAsia="仿宋" w:cs="宋体"/>
                <w:color w:val="000000" w:themeColor="text1"/>
                <w:szCs w:val="28"/>
                <w:shd w:val="clear" w:color="auto" w:fill="FFFFFF"/>
                <w14:textFill>
                  <w14:solidFill>
                    <w14:schemeClr w14:val="tx1"/>
                  </w14:solidFill>
                </w14:textFill>
              </w:rPr>
              <w:t>前</w:t>
            </w:r>
            <w:r>
              <w:rPr>
                <w:rFonts w:hint="eastAsia" w:ascii="仿宋" w:hAnsi="仿宋" w:eastAsia="仿宋" w:cs="宋体"/>
                <w:color w:val="000000" w:themeColor="text1"/>
                <w:szCs w:val="28"/>
                <w:shd w:val="clear" w:color="auto" w:fill="FFFFFF"/>
                <w14:textFill>
                  <w14:solidFill>
                    <w14:schemeClr w14:val="tx1"/>
                  </w14:solidFill>
                </w14:textFill>
              </w:rPr>
              <w:t>20名学生进入终选名单并派出。（2021级学生将于2022年秋季派出，以此类推）。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交流学校介绍</w:t>
            </w:r>
          </w:p>
        </w:tc>
        <w:tc>
          <w:tcPr>
            <w:tcW w:w="6515" w:type="dxa"/>
            <w:vAlign w:val="center"/>
          </w:tcPr>
          <w:p>
            <w:pPr>
              <w:pStyle w:val="27"/>
              <w:shd w:val="clear" w:color="auto" w:fill="FFFFFF"/>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新西伯利亚国立大学是俄罗斯高等教育四所最高殿堂之一，是俄罗斯唯一一所与科学院紧密合作的高校，有“俄罗斯硅谷”的称号。2007年，新西伯利亚国立大学赢得俄罗斯国家创新教育竞赛。2009年，获得国家研究性大学的称号，2013年，新西伯利亚国立大学成为了首批入选俄罗斯国家研究型大学和5-100计划的高校，具有良好的社会声誉和世界影响力。师资力量、教育实力雄厚，在俄罗斯联邦高校中排名前三，QS2020排名中位于俄罗斯第二位，专职俄罗斯科学院院士73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jc w:val="center"/>
        </w:trPr>
        <w:tc>
          <w:tcPr>
            <w:tcW w:w="1985" w:type="dxa"/>
            <w:vAlign w:val="center"/>
          </w:tcPr>
          <w:p>
            <w:pPr>
              <w:pStyle w:val="27"/>
              <w:widowControl/>
              <w:shd w:val="clear" w:color="auto" w:fill="FFFFFF"/>
              <w:jc w:val="left"/>
              <w:rPr>
                <w:rFonts w:ascii="仿宋" w:hAnsi="仿宋" w:eastAsia="仿宋" w:cs="宋体"/>
                <w:b/>
                <w:color w:val="000000" w:themeColor="text1"/>
                <w:szCs w:val="28"/>
                <w:shd w:val="clear" w:color="auto" w:fill="FFFFFF"/>
                <w14:textFill>
                  <w14:solidFill>
                    <w14:schemeClr w14:val="tx1"/>
                  </w14:solidFill>
                </w14:textFill>
              </w:rPr>
            </w:pPr>
            <w:r>
              <w:rPr>
                <w:rFonts w:hint="eastAsia" w:ascii="仿宋" w:hAnsi="仿宋" w:eastAsia="仿宋" w:cs="宋体"/>
                <w:b/>
                <w:color w:val="000000" w:themeColor="text1"/>
                <w:szCs w:val="28"/>
                <w:shd w:val="clear" w:color="auto" w:fill="FFFFFF"/>
                <w14:textFill>
                  <w14:solidFill>
                    <w14:schemeClr w14:val="tx1"/>
                  </w14:solidFill>
                </w14:textFill>
              </w:rPr>
              <w:t>报名咨询方式</w:t>
            </w:r>
          </w:p>
        </w:tc>
        <w:tc>
          <w:tcPr>
            <w:tcW w:w="6515" w:type="dxa"/>
            <w:vAlign w:val="center"/>
          </w:tcPr>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北京校部</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联系人：李芊芊</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电话：010-61772049</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地址：主楼D-837</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邮箱：</w:t>
            </w:r>
            <w:r>
              <w:rPr>
                <w:rFonts w:ascii="仿宋" w:hAnsi="仿宋" w:eastAsia="仿宋" w:cs="宋体"/>
                <w:color w:val="000000" w:themeColor="text1"/>
                <w:szCs w:val="28"/>
                <w:shd w:val="clear" w:color="auto" w:fill="FFFFFF"/>
                <w14:textFill>
                  <w14:solidFill>
                    <w14:schemeClr w14:val="tx1"/>
                  </w14:solidFill>
                </w14:textFill>
              </w:rPr>
              <w:t>lqq</w:t>
            </w:r>
            <w:r>
              <w:rPr>
                <w:rFonts w:hint="eastAsia" w:ascii="仿宋" w:hAnsi="仿宋" w:eastAsia="仿宋" w:cs="宋体"/>
                <w:color w:val="000000" w:themeColor="text1"/>
                <w:szCs w:val="28"/>
                <w:shd w:val="clear" w:color="auto" w:fill="FFFFFF"/>
                <w14:textFill>
                  <w14:solidFill>
                    <w14:schemeClr w14:val="tx1"/>
                  </w14:solidFill>
                </w14:textFill>
              </w:rPr>
              <w:t>@ncepu.edu.cn</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保定校区</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联系人：张大超</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电话：0312-</w:t>
            </w:r>
            <w:r>
              <w:rPr>
                <w:rFonts w:ascii="仿宋" w:hAnsi="仿宋" w:eastAsia="仿宋" w:cs="宋体"/>
                <w:color w:val="000000" w:themeColor="text1"/>
                <w:szCs w:val="28"/>
                <w:shd w:val="clear" w:color="auto" w:fill="FFFFFF"/>
                <w14:textFill>
                  <w14:solidFill>
                    <w14:schemeClr w14:val="tx1"/>
                  </w14:solidFill>
                </w14:textFill>
              </w:rPr>
              <w:t>7522207</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地址：一校区</w:t>
            </w:r>
            <w:r>
              <w:rPr>
                <w:rFonts w:ascii="仿宋" w:hAnsi="仿宋" w:eastAsia="仿宋" w:cs="宋体"/>
                <w:color w:val="000000" w:themeColor="text1"/>
                <w:szCs w:val="28"/>
                <w:shd w:val="clear" w:color="auto" w:fill="FFFFFF"/>
                <w14:textFill>
                  <w14:solidFill>
                    <w14:schemeClr w14:val="tx1"/>
                  </w14:solidFill>
                </w14:textFill>
              </w:rPr>
              <w:t>综合楼709</w:t>
            </w:r>
          </w:p>
          <w:p>
            <w:pPr>
              <w:pStyle w:val="27"/>
              <w:widowControl/>
              <w:shd w:val="clear" w:color="auto" w:fill="FFFFFF"/>
              <w:jc w:val="left"/>
              <w:rPr>
                <w:rFonts w:ascii="仿宋" w:hAnsi="仿宋" w:eastAsia="仿宋" w:cs="宋体"/>
                <w:color w:val="000000" w:themeColor="text1"/>
                <w:szCs w:val="28"/>
                <w:shd w:val="clear" w:color="auto" w:fill="FFFFFF"/>
                <w14:textFill>
                  <w14:solidFill>
                    <w14:schemeClr w14:val="tx1"/>
                  </w14:solidFill>
                </w14:textFill>
              </w:rPr>
            </w:pPr>
            <w:r>
              <w:rPr>
                <w:rFonts w:hint="eastAsia" w:ascii="仿宋" w:hAnsi="仿宋" w:eastAsia="仿宋" w:cs="宋体"/>
                <w:color w:val="000000" w:themeColor="text1"/>
                <w:szCs w:val="28"/>
                <w:shd w:val="clear" w:color="auto" w:fill="FFFFFF"/>
                <w14:textFill>
                  <w14:solidFill>
                    <w14:schemeClr w14:val="tx1"/>
                  </w14:solidFill>
                </w14:textFill>
              </w:rPr>
              <w:t>邮箱：zdc@ncepu.edu.cn</w:t>
            </w:r>
          </w:p>
        </w:tc>
      </w:tr>
    </w:tbl>
    <w:p>
      <w:pPr>
        <w:pStyle w:val="29"/>
      </w:pPr>
    </w:p>
    <w:p>
      <w:pPr>
        <w:pStyle w:val="29"/>
      </w:pPr>
      <w:bookmarkStart w:id="3" w:name="_Toc21941"/>
      <w:r>
        <w:rPr>
          <w:rFonts w:hint="eastAsia"/>
        </w:rPr>
        <w:t>本科双学位项目</w:t>
      </w:r>
      <w:bookmarkEnd w:id="3"/>
    </w:p>
    <w:p>
      <w:pPr>
        <w:pStyle w:val="4"/>
        <w:jc w:val="center"/>
        <w:rPr>
          <w:rFonts w:ascii="仿宋" w:hAnsi="仿宋" w:eastAsia="仿宋"/>
          <w:sz w:val="36"/>
          <w:szCs w:val="36"/>
        </w:rPr>
      </w:pPr>
      <w:bookmarkStart w:id="4" w:name="_Toc20782"/>
      <w:r>
        <w:rPr>
          <w:rFonts w:hint="eastAsia" w:ascii="仿宋" w:hAnsi="仿宋" w:eastAsia="仿宋"/>
          <w:sz w:val="36"/>
          <w:szCs w:val="36"/>
        </w:rPr>
        <w:t>法国格勒诺布尔理工大学</w:t>
      </w:r>
      <w:bookmarkEnd w:id="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85" w:type="dxa"/>
          </w:tcPr>
          <w:p>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Calibri"/>
                <w:color w:val="000000" w:themeColor="text1"/>
                <w:shd w:val="clear" w:color="auto" w:fill="FFFFFF"/>
                <w14:textFill>
                  <w14:solidFill>
                    <w14:schemeClr w14:val="tx1"/>
                  </w14:solidFill>
                </w14:textFill>
              </w:rPr>
              <w:t>法国格勒诺布尔理工大学本科双学位项目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Calibri"/>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每学期选派优秀本科生进行交流学习。学习结束后，学生可将相关学分转换回我校。本科前三年在华北电力大学就读，大四学年赴法读书，本科</w:t>
            </w:r>
            <w:r>
              <w:rPr>
                <w:rFonts w:hint="eastAsia" w:ascii="仿宋" w:hAnsi="仿宋" w:eastAsia="仿宋" w:cs="Calibri"/>
                <w:color w:val="000000" w:themeColor="text1"/>
                <w:shd w:val="clear" w:color="auto" w:fill="FFFFFF"/>
                <w14:textFill>
                  <w14:solidFill>
                    <w14:schemeClr w14:val="tx1"/>
                  </w14:solidFill>
                </w14:textFill>
              </w:rPr>
              <w:t>获华北电力大学，法国格勒诺布尔综合理工大学双学位。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核科学与工程学院、能源动力与机械工程学院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大四1学年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学费每学年约为10000欧元</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请咨询格勒诺布尔综合理工学院官网http://www.sciencespo-grenoble.fr/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每年在全球招收近5900名学生，分别就读于，自然科学、电子电器技术、计算机技术、机械工程、生物工程、环境工程、能源工程、材料工程等专业领域；同时该校每年向社会提供1100多名优秀的毕业生，个人年薪平均3万多欧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4"/>
        <w:jc w:val="center"/>
        <w:rPr>
          <w:rFonts w:ascii="仿宋" w:hAnsi="仿宋" w:eastAsia="仿宋"/>
          <w:sz w:val="36"/>
          <w:szCs w:val="36"/>
        </w:rPr>
      </w:pPr>
      <w:r>
        <w:rPr>
          <w:rFonts w:hint="eastAsia" w:ascii="仿宋" w:hAnsi="仿宋" w:eastAsia="仿宋"/>
          <w:sz w:val="36"/>
          <w:szCs w:val="36"/>
        </w:rPr>
        <w:t xml:space="preserve"> </w:t>
      </w:r>
    </w:p>
    <w:p>
      <w:pPr>
        <w:pStyle w:val="4"/>
        <w:jc w:val="center"/>
        <w:rPr>
          <w:rFonts w:hint="eastAsia" w:ascii="仿宋" w:hAnsi="仿宋" w:eastAsia="仿宋"/>
          <w:sz w:val="36"/>
          <w:szCs w:val="36"/>
        </w:rPr>
      </w:pPr>
      <w:bookmarkStart w:id="5" w:name="_Toc19669"/>
      <w:r>
        <w:rPr>
          <w:rFonts w:hint="eastAsia" w:ascii="仿宋" w:hAnsi="仿宋" w:eastAsia="仿宋"/>
          <w:sz w:val="36"/>
          <w:szCs w:val="36"/>
        </w:rPr>
        <w:t>澳大利亚昆士兰大学</w:t>
      </w:r>
      <w:bookmarkEnd w:id="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85" w:type="dxa"/>
          </w:tcPr>
          <w:p>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Calibri"/>
                <w:color w:val="000000" w:themeColor="text1"/>
                <w:shd w:val="clear" w:color="auto" w:fill="FFFFFF"/>
                <w14:textFill>
                  <w14:solidFill>
                    <w14:schemeClr w14:val="tx1"/>
                  </w14:solidFill>
                </w14:textFill>
              </w:rPr>
              <w:t>澳大利亚昆士兰大学本科双学位项目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Calibri"/>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w:t>
            </w:r>
            <w:r>
              <w:rPr>
                <w:rFonts w:ascii="仿宋" w:hAnsi="仿宋" w:eastAsia="仿宋" w:cs="宋体"/>
                <w:color w:val="000000" w:themeColor="text1"/>
                <w:shd w:val="clear" w:color="auto" w:fill="FFFFFF"/>
                <w14:textFill>
                  <w14:solidFill>
                    <w14:schemeClr w14:val="tx1"/>
                  </w14:solidFill>
                </w14:textFill>
              </w:rPr>
              <w:t>2+2” 双学位项目分为两个学习阶段，学生先在华北电力大学经济与管理学院进行两年的专业学习，然后赴澳大利亚昆士兰大学进行两年的专业课学习</w:t>
            </w:r>
            <w:r>
              <w:rPr>
                <w:rFonts w:hint="eastAsia" w:ascii="仿宋" w:hAnsi="仿宋" w:eastAsia="仿宋" w:cs="宋体"/>
                <w:color w:val="000000" w:themeColor="text1"/>
                <w:shd w:val="clear" w:color="auto" w:fill="FFFFFF"/>
                <w14:textFill>
                  <w14:solidFill>
                    <w14:schemeClr w14:val="tx1"/>
                  </w14:solidFill>
                </w14:textFill>
              </w:rPr>
              <w:t>，完成学业后，获得华北电力大学学士学位和澳大利亚昆士兰大学学士学位</w:t>
            </w:r>
            <w:r>
              <w:rPr>
                <w:rFonts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经济与管理学院 所有专业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申请时为大二全日制本科生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大三-大四 </w:t>
            </w:r>
            <w:r>
              <w:rPr>
                <w:rFonts w:ascii="仿宋" w:hAnsi="仿宋" w:eastAsia="仿宋" w:cs="宋体"/>
                <w:color w:val="000000" w:themeColor="text1"/>
                <w14:textFill>
                  <w14:solidFill>
                    <w14:schemeClr w14:val="tx1"/>
                  </w14:solidFill>
                </w14:textFill>
              </w:rPr>
              <w:t>2</w:t>
            </w:r>
            <w:r>
              <w:rPr>
                <w:rFonts w:hint="eastAsia" w:ascii="仿宋" w:hAnsi="仿宋" w:eastAsia="仿宋" w:cs="宋体"/>
                <w:color w:val="000000" w:themeColor="text1"/>
                <w14:textFill>
                  <w14:solidFill>
                    <w14:schemeClr w14:val="tx1"/>
                  </w14:solidFill>
                </w14:textFill>
              </w:rPr>
              <w:t>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每年学费约为</w:t>
            </w:r>
            <w:r>
              <w:rPr>
                <w:rFonts w:ascii="仿宋" w:hAnsi="仿宋" w:eastAsia="仿宋" w:cs="宋体"/>
                <w:color w:val="000000" w:themeColor="text1"/>
                <w14:textFill>
                  <w14:solidFill>
                    <w14:schemeClr w14:val="tx1"/>
                  </w14:solidFill>
                </w14:textFill>
              </w:rPr>
              <w:t>$40,000澳元，具体以网上公布的入学当年学费为准，具体请登录大学网址https://future-students.uq.edu.au/apply/undergraduate/international/fees查询。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1、热爱祖国，具有较高的思想政治素质；有优良的道德品质和良好的文明行为，遵纪守法</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 xml:space="preserve">    </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2、学习目的明确，态度端正，勤奋刻苦；善于学习和吸收新知识，有较强的分析问题和解决问题的能力，具有开拓创新精神。</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3</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 xml:space="preserve">积极参加体育锻炼和文娱活动，具备健康的体魄、良好的心理素质和卫生习惯，能够完成在澳大利亚两年学习生活，无犯罪记录。    </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4、本年度，我院相关专业2017级</w:t>
            </w:r>
            <w:r>
              <w:rPr>
                <w:rFonts w:hint="eastAsia" w:ascii="仿宋" w:hAnsi="仿宋" w:eastAsia="仿宋" w:cs="宋体"/>
                <w:color w:val="000000" w:themeColor="text1"/>
                <w:sz w:val="24"/>
                <w14:textFill>
                  <w14:solidFill>
                    <w14:schemeClr w14:val="tx1"/>
                  </w14:solidFill>
                </w14:textFill>
              </w:rPr>
              <w:t>、201</w:t>
            </w:r>
            <w:r>
              <w:rPr>
                <w:rFonts w:ascii="仿宋" w:hAnsi="仿宋" w:eastAsia="仿宋" w:cs="宋体"/>
                <w:color w:val="000000" w:themeColor="text1"/>
                <w:sz w:val="24"/>
                <w14:textFill>
                  <w14:solidFill>
                    <w14:schemeClr w14:val="tx1"/>
                  </w14:solidFill>
                </w14:textFill>
              </w:rPr>
              <w:t>8级学生均可报名，到昆士兰大学前必须至少完成我校2年级的学习。</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5、学习成绩优异，前两年在我校专业平均学习成绩在70分以上</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6、语言要求（下列条件满足任意一项即可</w:t>
            </w:r>
            <w:r>
              <w:rPr>
                <w:rFonts w:hint="eastAsia" w:ascii="仿宋" w:hAnsi="仿宋" w:eastAsia="仿宋" w:cs="宋体"/>
                <w:color w:val="000000" w:themeColor="text1"/>
                <w:sz w:val="24"/>
                <w14:textFill>
                  <w14:solidFill>
                    <w14:schemeClr w14:val="tx1"/>
                  </w14:solidFill>
                </w14:textFill>
              </w:rPr>
              <w:t>，不满足的需要读语言班）</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（1）雅思：总分为6.5，写作、阅读、口语和听力的每个单项不低于6.0分。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（2）托福网考：最低总分</w:t>
            </w:r>
            <w:r>
              <w:rPr>
                <w:rFonts w:ascii="仿宋" w:hAnsi="仿宋" w:eastAsia="仿宋" w:cs="宋体"/>
                <w:color w:val="000000" w:themeColor="text1"/>
                <w:sz w:val="24"/>
                <w14:textFill>
                  <w14:solidFill>
                    <w14:schemeClr w14:val="tx1"/>
                  </w14:solidFill>
                </w14:textFill>
              </w:rPr>
              <w:t>87分，写作不低于21分，口语和听力不低于19分</w:t>
            </w:r>
            <w:r>
              <w:rPr>
                <w:rFonts w:hint="eastAsia" w:ascii="仿宋" w:hAnsi="仿宋" w:eastAsia="仿宋" w:cs="宋体"/>
                <w:color w:val="000000" w:themeColor="text1"/>
                <w:sz w:val="24"/>
                <w14:textFill>
                  <w14:solidFill>
                    <w14:schemeClr w14:val="tx1"/>
                  </w14:solidFill>
                </w14:textFill>
              </w:rPr>
              <w:t>。</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具体参照：</w:t>
            </w:r>
            <w:r>
              <w:fldChar w:fldCharType="begin"/>
            </w:r>
            <w:r>
              <w:instrText xml:space="preserve"> HYPERLINK "https://future-students.uq.edu.au/applying/english-language-proficiency-requirements" </w:instrText>
            </w:r>
            <w:r>
              <w:fldChar w:fldCharType="separate"/>
            </w:r>
            <w:r>
              <w:rPr>
                <w:rFonts w:ascii="仿宋" w:hAnsi="仿宋" w:eastAsia="仿宋" w:cs="宋体"/>
                <w:color w:val="000000" w:themeColor="text1"/>
                <w:sz w:val="24"/>
                <w14:textFill>
                  <w14:solidFill>
                    <w14:schemeClr w14:val="tx1"/>
                  </w14:solidFill>
                </w14:textFill>
              </w:rPr>
              <w:t>https://future-students.uq.edu.au/applying/english-language-proficiency-requirements</w:t>
            </w:r>
            <w:r>
              <w:rPr>
                <w:rFonts w:ascii="仿宋" w:hAnsi="仿宋" w:eastAsia="仿宋" w:cs="宋体"/>
                <w:color w:val="000000" w:themeColor="text1"/>
                <w:sz w:val="24"/>
                <w14:textFill>
                  <w14:solidFill>
                    <w14:schemeClr w14:val="tx1"/>
                  </w14:solidFill>
                </w14:textFill>
              </w:rPr>
              <w:fldChar w:fldCharType="end"/>
            </w:r>
          </w:p>
          <w:p>
            <w:pPr>
              <w:pStyle w:val="27"/>
              <w:widowControl/>
              <w:shd w:val="clear" w:color="auto" w:fill="FFFFFF"/>
              <w:jc w:val="left"/>
              <w:rPr>
                <w:rFonts w:ascii="仿宋" w:hAnsi="仿宋" w:eastAsia="仿宋"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填写昆士兰大学本科双学位项目申请表，综合各方面情况，择优录取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昆士兰大学（英语：</w:t>
            </w:r>
            <w:r>
              <w:rPr>
                <w:rFonts w:ascii="仿宋" w:hAnsi="仿宋" w:eastAsia="仿宋" w:cs="宋体"/>
                <w:color w:val="000000" w:themeColor="text1"/>
                <w:sz w:val="24"/>
                <w:shd w:val="clear" w:color="auto" w:fill="FFFFFF"/>
                <w14:textFill>
                  <w14:solidFill>
                    <w14:schemeClr w14:val="tx1"/>
                  </w14:solidFill>
                </w14:textFill>
              </w:rPr>
              <w:t>The University of Queensland；简称UQ），1910年4月16日成立于昆士兰州首府布里斯班，为昆州的第一所综合型大学，在校生超过五万人。作为澳大利亚八大名校（Group of Eight）的成员，是澳大利亚历史悠久和享有盛誉的大学之一。</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在近年的排名中，昆士兰大学位居</w:t>
            </w:r>
            <w:r>
              <w:rPr>
                <w:rFonts w:ascii="仿宋" w:hAnsi="仿宋" w:eastAsia="仿宋" w:cs="宋体"/>
                <w:color w:val="000000" w:themeColor="text1"/>
                <w:sz w:val="24"/>
                <w:shd w:val="clear" w:color="auto" w:fill="FFFFFF"/>
                <w14:textFill>
                  <w14:solidFill>
                    <w14:schemeClr w14:val="tx1"/>
                  </w14:solidFill>
                </w14:textFill>
              </w:rPr>
              <w:t>2019年TIMES世界大学排名第69位，2018年世界大学学术排名ARWU第55位， 2019年英国 QS世界大学排名第48位，2018 U.S. News最佳世界大学排名第45位。昆士兰大学以优异的教学与科研享誉世界，吸引来自全球的一流教授和科研人员。根据2019QS世界大学学科排名，昆士兰大学有多达24个学科位居世界前50。</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除了排名，昆士兰大学强大的学科实力还体现在各种伟大发明与杰出校友上。昆士兰大学拥有超过</w:t>
            </w:r>
            <w:r>
              <w:rPr>
                <w:rFonts w:ascii="仿宋" w:hAnsi="仿宋" w:eastAsia="仿宋" w:cs="宋体"/>
                <w:color w:val="000000" w:themeColor="text1"/>
                <w:sz w:val="24"/>
                <w:shd w:val="clear" w:color="auto" w:fill="FFFFFF"/>
                <w14:textFill>
                  <w14:solidFill>
                    <w14:schemeClr w14:val="tx1"/>
                  </w14:solidFill>
                </w14:textFill>
              </w:rPr>
              <w:t>25万名校友，其中包括诺贝尔奖得主、财富500企业的首席执行官和众多领域的前沿人物。</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昆士兰大学的商业、经济与法学部的</w:t>
            </w:r>
            <w:r>
              <w:rPr>
                <w:rFonts w:ascii="仿宋" w:hAnsi="仿宋" w:eastAsia="仿宋" w:cs="宋体"/>
                <w:color w:val="000000" w:themeColor="text1"/>
                <w:sz w:val="24"/>
                <w:shd w:val="clear" w:color="auto" w:fill="FFFFFF"/>
                <w14:textFill>
                  <w14:solidFill>
                    <w14:schemeClr w14:val="tx1"/>
                  </w14:solidFill>
                </w14:textFill>
              </w:rPr>
              <w:t>1.2万多名学生，包括6,600多名国际学生在修读该学院提供的商业、管理、经济和法学等领域的课程。该学院在多个领域享誉世界，多个学科位居世界前茅。昆士兰商学院是澳洲第一所同时获得EQUIS和AACSB两大世界权威商科教育认证的商学院，工商管理硕士（MBA）在经济学人杂志2018年的评比中，排名世界38位，位居亚太地区的第二位。学部鼓励学以致用，设立了专门的学生就业力团队（Student Employability Team）。该团队通过一对一辅导、模拟面试、行业分享等多种形式</w:t>
            </w:r>
            <w:r>
              <w:rPr>
                <w:rFonts w:hint="eastAsia" w:ascii="仿宋" w:hAnsi="仿宋" w:eastAsia="仿宋" w:cs="宋体"/>
                <w:color w:val="000000" w:themeColor="text1"/>
                <w:sz w:val="24"/>
                <w:shd w:val="clear" w:color="auto" w:fill="FFFFFF"/>
                <w14:textFill>
                  <w14:solidFill>
                    <w14:schemeClr w14:val="tx1"/>
                  </w14:solidFill>
                </w14:textFill>
              </w:rPr>
              <w:t>的活动，帮助学生提高就业能力，提供多种实习实践机会。在</w:t>
            </w:r>
            <w:r>
              <w:rPr>
                <w:rFonts w:ascii="仿宋" w:hAnsi="仿宋" w:eastAsia="仿宋" w:cs="宋体"/>
                <w:color w:val="000000" w:themeColor="text1"/>
                <w:sz w:val="24"/>
                <w:shd w:val="clear" w:color="auto" w:fill="FFFFFF"/>
                <w14:textFill>
                  <w14:solidFill>
                    <w14:schemeClr w14:val="tx1"/>
                  </w14:solidFill>
                </w14:textFill>
              </w:rPr>
              <w:t>2018年，共有超过1000个机构参与该团队组织的讲座和实习活动。</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昆士兰大学在</w:t>
            </w:r>
            <w:r>
              <w:rPr>
                <w:rFonts w:ascii="仿宋" w:hAnsi="仿宋" w:eastAsia="仿宋" w:cs="宋体"/>
                <w:color w:val="000000" w:themeColor="text1"/>
                <w:sz w:val="24"/>
                <w:shd w:val="clear" w:color="auto" w:fill="FFFFFF"/>
                <w14:textFill>
                  <w14:solidFill>
                    <w14:schemeClr w14:val="tx1"/>
                  </w14:solidFill>
                </w14:textFill>
              </w:rPr>
              <w:t>QS 全球大学学科排名（2019）中：</w:t>
            </w:r>
          </w:p>
          <w:p>
            <w:pPr>
              <w:pStyle w:val="38"/>
              <w:numPr>
                <w:ilvl w:val="0"/>
                <w:numId w:val="1"/>
              </w:numPr>
              <w:ind w:firstLineChars="0"/>
              <w:rPr>
                <w:rFonts w:ascii="仿宋" w:hAnsi="仿宋" w:eastAsia="仿宋" w:cs="宋体"/>
                <w:color w:val="000000" w:themeColor="text1"/>
                <w:sz w:val="24"/>
                <w:shd w:val="clear" w:color="auto" w:fill="FFFFFF"/>
                <w14:textFill>
                  <w14:solidFill>
                    <w14:schemeClr w14:val="tx1"/>
                  </w14:solidFill>
                </w14:textFill>
              </w:rPr>
            </w:pPr>
            <w:r>
              <w:rPr>
                <w:rFonts w:ascii="仿宋" w:hAnsi="仿宋" w:eastAsia="仿宋" w:cs="宋体"/>
                <w:color w:val="000000" w:themeColor="text1"/>
                <w:sz w:val="24"/>
                <w:shd w:val="clear" w:color="auto" w:fill="FFFFFF"/>
                <w14:textFill>
                  <w14:solidFill>
                    <w14:schemeClr w14:val="tx1"/>
                  </w14:solidFill>
                </w14:textFill>
              </w:rPr>
              <w:t>酒店与休闲管理：27</w:t>
            </w:r>
          </w:p>
          <w:p>
            <w:pPr>
              <w:pStyle w:val="38"/>
              <w:numPr>
                <w:ilvl w:val="0"/>
                <w:numId w:val="1"/>
              </w:numPr>
              <w:ind w:firstLineChars="0"/>
              <w:rPr>
                <w:rFonts w:ascii="仿宋" w:hAnsi="仿宋" w:eastAsia="仿宋" w:cs="宋体"/>
                <w:color w:val="000000" w:themeColor="text1"/>
                <w:sz w:val="24"/>
                <w:shd w:val="clear" w:color="auto" w:fill="FFFFFF"/>
                <w14:textFill>
                  <w14:solidFill>
                    <w14:schemeClr w14:val="tx1"/>
                  </w14:solidFill>
                </w14:textFill>
              </w:rPr>
            </w:pPr>
            <w:r>
              <w:rPr>
                <w:rFonts w:ascii="仿宋" w:hAnsi="仿宋" w:eastAsia="仿宋" w:cs="宋体"/>
                <w:color w:val="000000" w:themeColor="text1"/>
                <w:sz w:val="24"/>
                <w:shd w:val="clear" w:color="auto" w:fill="FFFFFF"/>
                <w14:textFill>
                  <w14:solidFill>
                    <w14:schemeClr w14:val="tx1"/>
                  </w14:solidFill>
                </w14:textFill>
              </w:rPr>
              <w:t>法律：43</w:t>
            </w:r>
          </w:p>
          <w:p>
            <w:pPr>
              <w:pStyle w:val="38"/>
              <w:numPr>
                <w:ilvl w:val="0"/>
                <w:numId w:val="1"/>
              </w:numPr>
              <w:ind w:firstLineChars="0"/>
              <w:rPr>
                <w:rFonts w:ascii="仿宋" w:hAnsi="仿宋" w:eastAsia="仿宋" w:cs="宋体"/>
                <w:color w:val="000000" w:themeColor="text1"/>
                <w:sz w:val="24"/>
                <w:shd w:val="clear" w:color="auto" w:fill="FFFFFF"/>
                <w14:textFill>
                  <w14:solidFill>
                    <w14:schemeClr w14:val="tx1"/>
                  </w14:solidFill>
                </w14:textFill>
              </w:rPr>
            </w:pPr>
            <w:r>
              <w:rPr>
                <w:rFonts w:ascii="仿宋" w:hAnsi="仿宋" w:eastAsia="仿宋" w:cs="宋体"/>
                <w:color w:val="000000" w:themeColor="text1"/>
                <w:sz w:val="24"/>
                <w:shd w:val="clear" w:color="auto" w:fill="FFFFFF"/>
                <w14:textFill>
                  <w14:solidFill>
                    <w14:schemeClr w14:val="tx1"/>
                  </w14:solidFill>
                </w14:textFill>
              </w:rPr>
              <w:t>会计与金融：43</w:t>
            </w:r>
          </w:p>
          <w:p>
            <w:pPr>
              <w:pStyle w:val="38"/>
              <w:numPr>
                <w:ilvl w:val="0"/>
                <w:numId w:val="1"/>
              </w:numPr>
              <w:ind w:firstLineChars="0"/>
              <w:rPr>
                <w:rFonts w:ascii="仿宋" w:hAnsi="仿宋" w:eastAsia="仿宋" w:cs="宋体"/>
                <w:color w:val="000000" w:themeColor="text1"/>
                <w:sz w:val="24"/>
                <w:shd w:val="clear" w:color="auto" w:fill="FFFFFF"/>
                <w14:textFill>
                  <w14:solidFill>
                    <w14:schemeClr w14:val="tx1"/>
                  </w14:solidFill>
                </w14:textFill>
              </w:rPr>
            </w:pPr>
            <w:r>
              <w:rPr>
                <w:rFonts w:ascii="仿宋" w:hAnsi="仿宋" w:eastAsia="仿宋" w:cs="宋体"/>
                <w:color w:val="000000" w:themeColor="text1"/>
                <w:sz w:val="24"/>
                <w:shd w:val="clear" w:color="auto" w:fill="FFFFFF"/>
                <w14:textFill>
                  <w14:solidFill>
                    <w14:schemeClr w14:val="tx1"/>
                  </w14:solidFill>
                </w14:textFill>
              </w:rPr>
              <w:t>商业与管理：51-100</w:t>
            </w:r>
          </w:p>
          <w:p>
            <w:pPr>
              <w:pStyle w:val="38"/>
              <w:numPr>
                <w:ilvl w:val="0"/>
                <w:numId w:val="1"/>
              </w:numPr>
              <w:ind w:firstLineChars="0"/>
              <w:rPr>
                <w:rFonts w:ascii="仿宋" w:hAnsi="仿宋" w:eastAsia="仿宋" w:cs="宋体"/>
                <w:color w:val="000000" w:themeColor="text1"/>
                <w:sz w:val="24"/>
                <w:shd w:val="clear" w:color="auto" w:fill="FFFFFF"/>
                <w14:textFill>
                  <w14:solidFill>
                    <w14:schemeClr w14:val="tx1"/>
                  </w14:solidFill>
                </w14:textFill>
              </w:rPr>
            </w:pPr>
            <w:r>
              <w:rPr>
                <w:rFonts w:ascii="仿宋" w:hAnsi="仿宋" w:eastAsia="仿宋" w:cs="宋体"/>
                <w:color w:val="000000" w:themeColor="text1"/>
                <w:sz w:val="24"/>
                <w:shd w:val="clear" w:color="auto" w:fill="FFFFFF"/>
                <w14:textFill>
                  <w14:solidFill>
                    <w14:schemeClr w14:val="tx1"/>
                  </w14:solidFill>
                </w14:textFill>
              </w:rPr>
              <w:t>经济学与计量经济学：51-100</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在软科世界一流学科排名（</w:t>
            </w:r>
            <w:r>
              <w:rPr>
                <w:rFonts w:ascii="仿宋" w:hAnsi="仿宋" w:eastAsia="仿宋" w:cs="宋体"/>
                <w:color w:val="000000" w:themeColor="text1"/>
                <w:sz w:val="24"/>
                <w:shd w:val="clear" w:color="auto" w:fill="FFFFFF"/>
                <w14:textFill>
                  <w14:solidFill>
                    <w14:schemeClr w14:val="tx1"/>
                  </w14:solidFill>
                </w14:textFill>
              </w:rPr>
              <w:t>2019）中，旅游休闲管理专业位列第四。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联系人：范鸿德</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ascii="仿宋" w:hAnsi="仿宋" w:eastAsia="仿宋" w:cs="宋体"/>
                <w:color w:val="000000" w:themeColor="text1"/>
                <w:sz w:val="24"/>
                <w14:textFill>
                  <w14:solidFill>
                    <w14:schemeClr w14:val="tx1"/>
                  </w14:solidFill>
                </w14:textFill>
              </w:rPr>
              <w:t>3306</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地点：教一楼2</w:t>
            </w:r>
            <w:r>
              <w:rPr>
                <w:rFonts w:ascii="仿宋" w:hAnsi="仿宋" w:eastAsia="仿宋" w:cs="宋体"/>
                <w:color w:val="000000" w:themeColor="text1"/>
                <w:sz w:val="24"/>
                <w14:textFill>
                  <w14:solidFill>
                    <w14:schemeClr w14:val="tx1"/>
                  </w14:solidFill>
                </w14:textFill>
              </w:rPr>
              <w:t>17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联系人：李冰</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电话：0312-7525121</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地址：教六202</w:t>
            </w:r>
          </w:p>
        </w:tc>
      </w:tr>
    </w:tbl>
    <w:p>
      <w:pPr>
        <w:pStyle w:val="4"/>
        <w:jc w:val="center"/>
        <w:rPr>
          <w:rFonts w:ascii="仿宋" w:hAnsi="仿宋" w:eastAsia="仿宋"/>
          <w:sz w:val="36"/>
          <w:szCs w:val="36"/>
        </w:rPr>
      </w:pPr>
    </w:p>
    <w:p>
      <w:pPr>
        <w:pStyle w:val="4"/>
        <w:jc w:val="center"/>
        <w:outlineLvl w:val="2"/>
        <w:rPr>
          <w:rFonts w:hint="eastAsia" w:ascii="仿宋" w:hAnsi="仿宋" w:eastAsia="仿宋"/>
          <w:sz w:val="36"/>
          <w:szCs w:val="36"/>
        </w:rPr>
      </w:pPr>
      <w:bookmarkStart w:id="6" w:name="_Toc6365"/>
      <w:r>
        <w:rPr>
          <w:rFonts w:hint="eastAsia" w:ascii="仿宋" w:hAnsi="仿宋" w:eastAsia="仿宋"/>
          <w:sz w:val="36"/>
          <w:szCs w:val="36"/>
        </w:rPr>
        <w:t>英国利兹大学</w:t>
      </w:r>
      <w:bookmarkEnd w:id="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85" w:type="dxa"/>
          </w:tcPr>
          <w:p>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hint="eastAsia" w:ascii="仿宋" w:hAnsi="仿宋" w:eastAsia="仿宋" w:cs="Calibri"/>
                <w:color w:val="000000" w:themeColor="text1"/>
                <w:shd w:val="clear" w:color="auto" w:fill="FFFFFF"/>
                <w14:textFill>
                  <w14:solidFill>
                    <w14:schemeClr w14:val="tx1"/>
                  </w14:solidFill>
                </w14:textFill>
              </w:rPr>
              <w:t>本科双学位项目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Calibri"/>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w:t>
            </w:r>
            <w:r>
              <w:rPr>
                <w:rFonts w:ascii="仿宋" w:hAnsi="仿宋" w:eastAsia="仿宋" w:cs="宋体"/>
                <w:color w:val="000000" w:themeColor="text1"/>
                <w:shd w:val="clear" w:color="auto" w:fill="FFFFFF"/>
                <w14:textFill>
                  <w14:solidFill>
                    <w14:schemeClr w14:val="tx1"/>
                  </w14:solidFill>
                </w14:textFill>
              </w:rPr>
              <w:t>2+2” 双学位项目分为两个学习阶段，学生先在华北电力大学</w:t>
            </w:r>
            <w:r>
              <w:rPr>
                <w:rFonts w:hint="eastAsia" w:ascii="仿宋" w:hAnsi="仿宋" w:eastAsia="仿宋" w:cs="宋体"/>
                <w:color w:val="000000" w:themeColor="text1"/>
                <w:shd w:val="clear" w:color="auto" w:fill="FFFFFF"/>
                <w:lang w:val="en-US" w:eastAsia="zh-CN"/>
                <w14:textFill>
                  <w14:solidFill>
                    <w14:schemeClr w14:val="tx1"/>
                  </w14:solidFill>
                </w14:textFill>
              </w:rPr>
              <w:t>控制与计算机</w:t>
            </w:r>
            <w:r>
              <w:rPr>
                <w:rFonts w:ascii="仿宋" w:hAnsi="仿宋" w:eastAsia="仿宋" w:cs="宋体"/>
                <w:color w:val="000000" w:themeColor="text1"/>
                <w:shd w:val="clear" w:color="auto" w:fill="FFFFFF"/>
                <w14:textFill>
                  <w14:solidFill>
                    <w14:schemeClr w14:val="tx1"/>
                  </w14:solidFill>
                </w14:textFill>
              </w:rPr>
              <w:t>学院进行两年的专业学习，然后赴</w:t>
            </w: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ascii="仿宋" w:hAnsi="仿宋" w:eastAsia="仿宋" w:cs="宋体"/>
                <w:color w:val="000000" w:themeColor="text1"/>
                <w:shd w:val="clear" w:color="auto" w:fill="FFFFFF"/>
                <w14:textFill>
                  <w14:solidFill>
                    <w14:schemeClr w14:val="tx1"/>
                  </w14:solidFill>
                </w14:textFill>
              </w:rPr>
              <w:t>进行两年的专业课学习</w:t>
            </w:r>
            <w:r>
              <w:rPr>
                <w:rFonts w:hint="eastAsia" w:ascii="仿宋" w:hAnsi="仿宋" w:eastAsia="仿宋" w:cs="宋体"/>
                <w:color w:val="000000" w:themeColor="text1"/>
                <w:shd w:val="clear" w:color="auto" w:fill="FFFFFF"/>
                <w14:textFill>
                  <w14:solidFill>
                    <w14:schemeClr w14:val="tx1"/>
                  </w14:solidFill>
                </w14:textFill>
              </w:rPr>
              <w:t>，完成学业后，获得华北电力大学学士学位和</w:t>
            </w: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hint="eastAsia" w:ascii="仿宋" w:hAnsi="仿宋" w:eastAsia="仿宋" w:cs="宋体"/>
                <w:color w:val="000000" w:themeColor="text1"/>
                <w:shd w:val="clear" w:color="auto" w:fill="FFFFFF"/>
                <w14:textFill>
                  <w14:solidFill>
                    <w14:schemeClr w14:val="tx1"/>
                  </w14:solidFill>
                </w14:textFill>
              </w:rPr>
              <w:t>学士学位</w:t>
            </w:r>
            <w:r>
              <w:rPr>
                <w:rFonts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sz w:val="24"/>
                <w:szCs w:val="24"/>
              </w:rPr>
              <w:t>测控技术与仪器专业、自动化专业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申请时为大二全日制本科生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大三-大四 </w:t>
            </w:r>
            <w:r>
              <w:rPr>
                <w:rFonts w:ascii="仿宋" w:hAnsi="仿宋" w:eastAsia="仿宋" w:cs="宋体"/>
                <w:color w:val="000000" w:themeColor="text1"/>
                <w14:textFill>
                  <w14:solidFill>
                    <w14:schemeClr w14:val="tx1"/>
                  </w14:solidFill>
                </w14:textFill>
              </w:rPr>
              <w:t>2</w:t>
            </w:r>
            <w:r>
              <w:rPr>
                <w:rFonts w:hint="eastAsia" w:ascii="仿宋" w:hAnsi="仿宋" w:eastAsia="仿宋" w:cs="宋体"/>
                <w:color w:val="000000" w:themeColor="text1"/>
                <w14:textFill>
                  <w14:solidFill>
                    <w14:schemeClr w14:val="tx1"/>
                  </w14:solidFill>
                </w14:textFill>
              </w:rPr>
              <w:t>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sz w:val="24"/>
                <w:szCs w:val="24"/>
              </w:rPr>
              <w:t>2</w:t>
            </w:r>
            <w:r>
              <w:rPr>
                <w:rFonts w:ascii="仿宋" w:hAnsi="仿宋" w:eastAsia="仿宋"/>
                <w:sz w:val="24"/>
                <w:szCs w:val="24"/>
              </w:rPr>
              <w:t>2750</w:t>
            </w:r>
            <w:r>
              <w:rPr>
                <w:rFonts w:hint="eastAsia" w:ascii="仿宋" w:hAnsi="仿宋" w:eastAsia="仿宋"/>
                <w:sz w:val="24"/>
                <w:szCs w:val="24"/>
              </w:rPr>
              <w:t>磅/年（2</w:t>
            </w:r>
            <w:r>
              <w:rPr>
                <w:rFonts w:ascii="仿宋" w:hAnsi="仿宋" w:eastAsia="仿宋"/>
                <w:sz w:val="24"/>
                <w:szCs w:val="24"/>
              </w:rPr>
              <w:t>019</w:t>
            </w:r>
            <w:r>
              <w:rPr>
                <w:rFonts w:hint="eastAsia" w:ascii="仿宋" w:hAnsi="仿宋" w:eastAsia="仿宋"/>
                <w:sz w:val="24"/>
                <w:szCs w:val="24"/>
              </w:rPr>
              <w:t>年），</w:t>
            </w:r>
            <w:r>
              <w:rPr>
                <w:rFonts w:hint="eastAsia" w:ascii="仿宋" w:hAnsi="仿宋" w:eastAsia="仿宋"/>
                <w:sz w:val="24"/>
                <w:szCs w:val="24"/>
                <w:lang w:val="en-US" w:eastAsia="zh-CN"/>
              </w:rPr>
              <w:t>实际价格以利兹大学官网通知为准，</w:t>
            </w:r>
            <w:r>
              <w:rPr>
                <w:rFonts w:hint="eastAsia" w:ascii="仿宋" w:hAnsi="仿宋" w:eastAsia="仿宋"/>
                <w:sz w:val="24"/>
                <w:szCs w:val="24"/>
              </w:rPr>
              <w:t>按协议会在此基础上减免10%；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1、热爱祖国，具有较高的思想政治素质；有优良的道德品质和良好的文明行为，遵纪守法</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 xml:space="preserve">    </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2、学习目的明确，态度端正，勤奋刻苦；善于学习和吸收新知识，有较强的分析问题和解决问题的能力，具有开拓创新精神。</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3</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积极参加体育锻炼和文娱活动，具备健康的体魄、良好的心理素质和卫生习惯，能够完成在</w:t>
            </w:r>
            <w:r>
              <w:rPr>
                <w:rFonts w:hint="eastAsia" w:ascii="仿宋" w:hAnsi="仿宋" w:eastAsia="仿宋" w:cs="宋体"/>
                <w:color w:val="000000" w:themeColor="text1"/>
                <w:sz w:val="24"/>
                <w:lang w:val="en-US" w:eastAsia="zh-CN"/>
                <w14:textFill>
                  <w14:solidFill>
                    <w14:schemeClr w14:val="tx1"/>
                  </w14:solidFill>
                </w14:textFill>
              </w:rPr>
              <w:t>英国</w:t>
            </w:r>
            <w:r>
              <w:rPr>
                <w:rFonts w:ascii="仿宋" w:hAnsi="仿宋" w:eastAsia="仿宋" w:cs="宋体"/>
                <w:color w:val="000000" w:themeColor="text1"/>
                <w:sz w:val="24"/>
                <w14:textFill>
                  <w14:solidFill>
                    <w14:schemeClr w14:val="tx1"/>
                  </w14:solidFill>
                </w14:textFill>
              </w:rPr>
              <w:t xml:space="preserve">两年学习生活，无犯罪记录。    </w:t>
            </w:r>
          </w:p>
          <w:p>
            <w:pPr>
              <w:rPr>
                <w:rFonts w:hint="eastAsia" w:ascii="仿宋" w:hAnsi="仿宋" w:eastAsia="仿宋"/>
                <w:sz w:val="24"/>
                <w:szCs w:val="24"/>
              </w:rPr>
            </w:pPr>
            <w:r>
              <w:rPr>
                <w:rFonts w:ascii="仿宋" w:hAnsi="仿宋" w:eastAsia="仿宋" w:cs="宋体"/>
                <w:color w:val="000000" w:themeColor="text1"/>
                <w:sz w:val="24"/>
                <w14:textFill>
                  <w14:solidFill>
                    <w14:schemeClr w14:val="tx1"/>
                  </w14:solidFill>
                </w14:textFill>
              </w:rPr>
              <w:t>4、</w:t>
            </w:r>
            <w:r>
              <w:rPr>
                <w:rFonts w:hint="eastAsia" w:ascii="仿宋" w:hAnsi="仿宋" w:eastAsia="仿宋"/>
                <w:sz w:val="24"/>
                <w:szCs w:val="24"/>
              </w:rPr>
              <w:t>前三学期专业学分绩（GPA）排名前25%以内。</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6、语言要求</w:t>
            </w:r>
          </w:p>
          <w:p>
            <w:pPr>
              <w:ind w:firstLine="480" w:firstLineChars="20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雅思总分</w:t>
            </w:r>
            <w:r>
              <w:rPr>
                <w:rFonts w:hint="eastAsia" w:ascii="仿宋" w:hAnsi="仿宋" w:eastAsia="仿宋" w:cs="宋体"/>
                <w:color w:val="000000" w:themeColor="text1"/>
                <w:sz w:val="24"/>
                <w:lang w:val="en-US" w:eastAsia="zh-CN"/>
                <w14:textFill>
                  <w14:solidFill>
                    <w14:schemeClr w14:val="tx1"/>
                  </w14:solidFill>
                </w14:textFill>
              </w:rPr>
              <w:t>不低于</w:t>
            </w:r>
            <w:r>
              <w:rPr>
                <w:rFonts w:hint="eastAsia" w:ascii="仿宋" w:hAnsi="仿宋" w:eastAsia="仿宋" w:cs="宋体"/>
                <w:color w:val="000000" w:themeColor="text1"/>
                <w:sz w:val="24"/>
                <w14:textFill>
                  <w14:solidFill>
                    <w14:schemeClr w14:val="tx1"/>
                  </w14:solidFill>
                </w14:textFill>
              </w:rPr>
              <w:t>6，写作、阅读、口语和听力的每个单项不低于</w:t>
            </w:r>
            <w:r>
              <w:rPr>
                <w:rFonts w:hint="eastAsia" w:ascii="仿宋" w:hAnsi="仿宋" w:eastAsia="仿宋" w:cs="宋体"/>
                <w:color w:val="000000" w:themeColor="text1"/>
                <w:sz w:val="24"/>
                <w:lang w:val="en-US" w:eastAsia="zh-CN"/>
                <w14:textFill>
                  <w14:solidFill>
                    <w14:schemeClr w14:val="tx1"/>
                  </w14:solidFill>
                </w14:textFill>
              </w:rPr>
              <w:t>5.5</w:t>
            </w:r>
            <w:r>
              <w:rPr>
                <w:rFonts w:hint="eastAsia" w:ascii="仿宋" w:hAnsi="仿宋" w:eastAsia="仿宋" w:cs="宋体"/>
                <w:color w:val="000000" w:themeColor="text1"/>
                <w:sz w:val="24"/>
                <w14:textFill>
                  <w14:solidFill>
                    <w14:schemeClr w14:val="tx1"/>
                  </w14:solidFill>
                </w14:textFill>
              </w:rPr>
              <w:t>分。</w:t>
            </w:r>
            <w:r>
              <w:rPr>
                <w:rFonts w:hint="eastAsia" w:ascii="仿宋" w:hAnsi="仿宋" w:eastAsia="仿宋"/>
                <w:sz w:val="24"/>
                <w:szCs w:val="24"/>
              </w:rPr>
              <w:t>（UL的最低英语语言要求由英国政府的入境签证要求决定，因此可能会有所变化。）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填写</w:t>
            </w:r>
            <w:r>
              <w:rPr>
                <w:rFonts w:hint="eastAsia" w:ascii="仿宋" w:hAnsi="仿宋" w:eastAsia="仿宋" w:cs="宋体"/>
                <w:color w:val="000000" w:themeColor="text1"/>
                <w:lang w:val="en-US" w:eastAsia="zh-CN"/>
                <w14:textFill>
                  <w14:solidFill>
                    <w14:schemeClr w14:val="tx1"/>
                  </w14:solidFill>
                </w14:textFill>
              </w:rPr>
              <w:t>利兹</w:t>
            </w:r>
            <w:r>
              <w:rPr>
                <w:rFonts w:hint="eastAsia" w:ascii="仿宋" w:hAnsi="仿宋" w:eastAsia="仿宋" w:cs="宋体"/>
                <w:color w:val="000000" w:themeColor="text1"/>
                <w14:textFill>
                  <w14:solidFill>
                    <w14:schemeClr w14:val="tx1"/>
                  </w14:solidFill>
                </w14:textFill>
              </w:rPr>
              <w:t>大学本科双学位项目申请表，综合各方面情况，择优录取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ind w:firstLine="480" w:firstLineChars="200"/>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利兹大学（The University of Leeds）是英国规模第二大的高等学府，英国顶尖的十所研究型大学之一，世界百强名校，英国常春藤联盟罗素大学集团创始成员，英国著名的六所“红砖大学”之一，世界大学联盟成员，白玫瑰大学联盟成员，N8大学联盟成员。</w:t>
            </w:r>
          </w:p>
          <w:p>
            <w:pPr>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利兹大学是英国顶尖综合性大学，在教学、科研与就业等方面享有崇高的国际声誉。在2020年QS世界大学排名中居世界第93位；2019年QS毕业生就业竞争力排名中居世界第53位；2019年卫报英国大学排名中居英国第10位；2014年英国官方每七年发布一次的REF大学排名中居英国第10位；学生满意度排名稳居英国前5位；2017年被TIMES评为英国“年度最佳大学”；2017年被英国政府评为TEF金奖大学。</w:t>
            </w:r>
          </w:p>
          <w:p>
            <w:pPr>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2020年QS世界大学排名</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https://baike.baidu.com/item/2020%E5%B9%B4QS%E4%B8%96%E7%95%8C%E5%A4%A7%E5%AD%A6%E6%8E%92%E5%90%8D/23576784?fr=aladdin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联系人：张稚</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电话：010-61772468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邮箱</w:t>
            </w:r>
            <w:r>
              <w:rPr>
                <w:rFonts w:hint="eastAsia" w:ascii="仿宋" w:hAnsi="仿宋" w:eastAsia="仿宋" w:cs="宋体"/>
                <w:color w:val="000000" w:themeColor="text1"/>
                <w:sz w:val="24"/>
                <w14:textFill>
                  <w14:solidFill>
                    <w14:schemeClr w14:val="tx1"/>
                  </w14:solidFill>
                </w14:textFill>
              </w:rPr>
              <w:t>：</w:t>
            </w:r>
            <w:r>
              <w:rPr>
                <w:rFonts w:hint="eastAsia" w:ascii="仿宋" w:hAnsi="仿宋" w:eastAsia="仿宋" w:cs="宋体"/>
                <w:color w:val="000000" w:themeColor="text1"/>
                <w:sz w:val="24"/>
                <w14:textFill>
                  <w14:solidFill>
                    <w14:schemeClr w14:val="tx1"/>
                  </w14:solidFill>
                </w14:textFill>
              </w:rPr>
              <w:fldChar w:fldCharType="begin"/>
            </w:r>
            <w:r>
              <w:rPr>
                <w:rFonts w:hint="eastAsia" w:ascii="仿宋" w:hAnsi="仿宋" w:eastAsia="仿宋" w:cs="宋体"/>
                <w:color w:val="000000" w:themeColor="text1"/>
                <w:sz w:val="24"/>
                <w14:textFill>
                  <w14:solidFill>
                    <w14:schemeClr w14:val="tx1"/>
                  </w14:solidFill>
                </w14:textFill>
              </w:rPr>
              <w:instrText xml:space="preserve"> HYPERLINK "mailto:kjyjs@ncepu.edu.cn" </w:instrText>
            </w:r>
            <w:r>
              <w:rPr>
                <w:rFonts w:hint="eastAsia" w:ascii="仿宋" w:hAnsi="仿宋" w:eastAsia="仿宋" w:cs="宋体"/>
                <w:color w:val="000000" w:themeColor="text1"/>
                <w:sz w:val="24"/>
                <w14:textFill>
                  <w14:solidFill>
                    <w14:schemeClr w14:val="tx1"/>
                  </w14:solidFill>
                </w14:textFill>
              </w:rPr>
              <w:fldChar w:fldCharType="separate"/>
            </w:r>
            <w:r>
              <w:rPr>
                <w:rStyle w:val="35"/>
                <w:rFonts w:hint="eastAsia" w:ascii="仿宋" w:hAnsi="仿宋" w:eastAsia="仿宋" w:cs="宋体"/>
                <w:color w:val="000000" w:themeColor="text1"/>
                <w:sz w:val="24"/>
                <w14:textFill>
                  <w14:solidFill>
                    <w14:schemeClr w14:val="tx1"/>
                  </w14:solidFill>
                </w14:textFill>
              </w:rPr>
              <w:t>kjyjs@ncepu.edu.cn</w:t>
            </w:r>
            <w:r>
              <w:rPr>
                <w:rFonts w:hint="eastAsia" w:ascii="仿宋" w:hAnsi="仿宋" w:eastAsia="仿宋" w:cs="宋体"/>
                <w:color w:val="000000" w:themeColor="text1"/>
                <w:sz w:val="24"/>
                <w14:textFill>
                  <w14:solidFill>
                    <w14:schemeClr w14:val="tx1"/>
                  </w14:solidFill>
                </w14:textFill>
              </w:rPr>
              <w:fldChar w:fldCharType="end"/>
            </w:r>
          </w:p>
          <w:p>
            <w:pPr>
              <w:rPr>
                <w:rFonts w:hint="default"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地址：主E513</w:t>
            </w:r>
          </w:p>
        </w:tc>
      </w:tr>
    </w:tbl>
    <w:p>
      <w:pPr>
        <w:pStyle w:val="27"/>
        <w:widowControl/>
        <w:shd w:val="clear" w:color="auto" w:fill="FFFFFF"/>
        <w:rPr>
          <w:rFonts w:ascii="仿宋" w:hAnsi="仿宋" w:eastAsia="仿宋" w:cs="宋体"/>
          <w:b/>
          <w:bCs/>
          <w:color w:val="000000" w:themeColor="text1"/>
          <w:sz w:val="36"/>
          <w:szCs w:val="36"/>
          <w:shd w:val="clear" w:color="auto" w:fill="FFFFFF"/>
          <w14:textFill>
            <w14:solidFill>
              <w14:schemeClr w14:val="tx1"/>
            </w14:solidFill>
          </w14:textFill>
        </w:rPr>
      </w:pPr>
    </w:p>
    <w:p>
      <w:pPr>
        <w:pStyle w:val="29"/>
      </w:pPr>
      <w:bookmarkStart w:id="7" w:name="_Toc7227"/>
      <w:r>
        <w:rPr>
          <w:rFonts w:hint="eastAsia"/>
        </w:rPr>
        <w:t>免学费项目</w:t>
      </w:r>
      <w:bookmarkEnd w:id="7"/>
      <w:bookmarkStart w:id="42" w:name="_GoBack"/>
      <w:bookmarkEnd w:id="42"/>
    </w:p>
    <w:p>
      <w:pPr>
        <w:pStyle w:val="4"/>
        <w:jc w:val="center"/>
        <w:rPr>
          <w:rFonts w:ascii="仿宋" w:hAnsi="仿宋" w:eastAsia="仿宋"/>
          <w:sz w:val="36"/>
          <w:szCs w:val="36"/>
        </w:rPr>
      </w:pPr>
      <w:bookmarkStart w:id="8" w:name="_Toc11890"/>
      <w:r>
        <w:rPr>
          <w:rFonts w:hint="eastAsia" w:ascii="仿宋" w:hAnsi="仿宋" w:eastAsia="仿宋"/>
          <w:sz w:val="36"/>
          <w:szCs w:val="36"/>
        </w:rPr>
        <w:t>德国柏林自由大学</w:t>
      </w:r>
      <w:bookmarkEnd w:id="8"/>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选拔优秀本科生赴德国柏林自由大学进行学习，回校后进行学分互认转换。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（4）较强的英语沟通能力（选择德文授课达到欧盟要求</w:t>
            </w:r>
            <w:r>
              <w:rPr>
                <w:rFonts w:ascii="仿宋" w:hAnsi="仿宋" w:eastAsia="仿宋" w:cs="宋体"/>
                <w:color w:val="000000" w:themeColor="text1"/>
                <w:kern w:val="0"/>
                <w:shd w:val="clear" w:color="auto" w:fill="FFFFFF"/>
                <w14:textFill>
                  <w14:solidFill>
                    <w14:schemeClr w14:val="tx1"/>
                  </w14:solidFill>
                </w14:textFill>
              </w:rPr>
              <w:t>B2</w:t>
            </w:r>
            <w:r>
              <w:rPr>
                <w:rFonts w:hint="eastAsia" w:ascii="仿宋" w:hAnsi="仿宋" w:eastAsia="仿宋" w:cs="宋体"/>
                <w:color w:val="000000" w:themeColor="text1"/>
                <w:kern w:val="0"/>
                <w:shd w:val="clear" w:color="auto" w:fill="FFFFFF"/>
                <w14:textFill>
                  <w14:solidFill>
                    <w14:schemeClr w14:val="tx1"/>
                  </w14:solidFill>
                </w14:textFill>
              </w:rPr>
              <w:t>级以上水平，选择英文授课英语需达到欧盟要求</w:t>
            </w:r>
            <w:r>
              <w:rPr>
                <w:rFonts w:ascii="仿宋" w:hAnsi="仿宋" w:eastAsia="仿宋" w:cs="宋体"/>
                <w:color w:val="000000" w:themeColor="text1"/>
                <w:kern w:val="0"/>
                <w:shd w:val="clear" w:color="auto" w:fill="FFFFFF"/>
                <w14:textFill>
                  <w14:solidFill>
                    <w14:schemeClr w14:val="tx1"/>
                  </w14:solidFill>
                </w14:textFill>
              </w:rPr>
              <w:t>B</w:t>
            </w:r>
            <w:r>
              <w:rPr>
                <w:rFonts w:hint="eastAsia" w:ascii="仿宋" w:hAnsi="仿宋" w:eastAsia="仿宋" w:cs="宋体"/>
                <w:color w:val="000000" w:themeColor="text1"/>
                <w:kern w:val="0"/>
                <w:shd w:val="clear" w:color="auto" w:fill="FFFFFF"/>
                <w14:textFill>
                  <w14:solidFill>
                    <w14:schemeClr w14:val="tx1"/>
                  </w14:solidFill>
                </w14:textFill>
              </w:rPr>
              <w:t>1以上水平）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校内申请材料</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kern w:val="0"/>
                <w14:textFill>
                  <w14:solidFill>
                    <w14:schemeClr w14:val="tx1"/>
                  </w14:solidFill>
                </w14:textFill>
              </w:rPr>
              <w:t xml:space="preserve"> ，择优录取</w:t>
            </w:r>
            <w:r>
              <w:rPr>
                <w:rFonts w:hint="eastAsia" w:ascii="仿宋" w:hAnsi="仿宋" w:eastAsia="仿宋" w:cs="宋体"/>
                <w:color w:val="000000" w:themeColor="text1"/>
                <w:kern w:val="0"/>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柏林自由大学（德文：Freie Universit</w:t>
            </w:r>
            <w:r>
              <w:rPr>
                <w:rFonts w:ascii="Calibri" w:hAnsi="Calibri" w:eastAsia="仿宋" w:cs="Calibri"/>
                <w:color w:val="000000" w:themeColor="text1"/>
                <w:kern w:val="0"/>
                <w14:textFill>
                  <w14:solidFill>
                    <w14:schemeClr w14:val="tx1"/>
                  </w14:solidFill>
                </w14:textFill>
              </w:rPr>
              <w:t>ä</w:t>
            </w:r>
            <w:r>
              <w:rPr>
                <w:rFonts w:hint="eastAsia" w:ascii="仿宋" w:hAnsi="仿宋" w:eastAsia="仿宋" w:cs="宋体"/>
                <w:color w:val="000000" w:themeColor="text1"/>
                <w:kern w:val="0"/>
                <w14:textFill>
                  <w14:solidFill>
                    <w14:schemeClr w14:val="tx1"/>
                  </w14:solidFill>
                </w14:textFill>
              </w:rPr>
              <w:t>t Berlin）创建于1948年，前身为柏林大学，主校址位于柏林Dahlem，是德国首都规模最大的文理科综合性大学，也是欧洲大陆乃至世界的著名高校之一。柏林自由大学位列2020年QS世界大学排名第130位，2020年THE世界大学排名第117位，2019年USNews世界大学排名第116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9" w:name="_Toc27337"/>
      <w:r>
        <w:rPr>
          <w:rFonts w:hint="eastAsia" w:ascii="仿宋" w:hAnsi="仿宋" w:eastAsia="仿宋"/>
          <w:sz w:val="36"/>
          <w:szCs w:val="36"/>
        </w:rPr>
        <w:t>德国勃兰登堡工业大学</w:t>
      </w:r>
      <w:bookmarkEnd w:id="9"/>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选拔优秀本科生赴勃兰登堡工业大学进行学习，学习为期一年，其中成绩优异的同学可继续攻读硕士。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hint="eastAsia"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电气与电子工程学院，</w:t>
            </w:r>
            <w:r>
              <w:rPr>
                <w:rFonts w:ascii="仿宋" w:hAnsi="仿宋" w:eastAsia="仿宋" w:cs="宋体"/>
                <w:color w:val="000000" w:themeColor="text1"/>
                <w:kern w:val="0"/>
                <w14:textFill>
                  <w14:solidFill>
                    <w14:schemeClr w14:val="tx1"/>
                  </w14:solidFill>
                </w14:textFill>
              </w:rPr>
              <w:t>能源与动力工程学院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1学年</w:t>
            </w:r>
          </w:p>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成绩优异</w:t>
            </w:r>
            <w:r>
              <w:rPr>
                <w:rFonts w:ascii="仿宋" w:hAnsi="仿宋" w:eastAsia="仿宋" w:cs="宋体"/>
                <w:color w:val="000000" w:themeColor="text1"/>
                <w:kern w:val="0"/>
                <w14:textFill>
                  <w14:solidFill>
                    <w14:schemeClr w14:val="tx1"/>
                  </w14:solidFill>
                </w14:textFill>
              </w:rPr>
              <w:t>同学可选择</w:t>
            </w:r>
            <w:r>
              <w:rPr>
                <w:rFonts w:hint="eastAsia" w:ascii="仿宋" w:hAnsi="仿宋" w:eastAsia="仿宋" w:cs="宋体"/>
                <w:color w:val="000000" w:themeColor="text1"/>
                <w:kern w:val="0"/>
                <w14:textFill>
                  <w14:solidFill>
                    <w14:schemeClr w14:val="tx1"/>
                  </w14:solidFill>
                </w14:textFill>
              </w:rPr>
              <w:t>交换后“3</w:t>
            </w:r>
            <w:r>
              <w:rPr>
                <w:rFonts w:ascii="仿宋" w:hAnsi="仿宋" w:eastAsia="仿宋" w:cs="宋体"/>
                <w:color w:val="000000" w:themeColor="text1"/>
                <w:kern w:val="0"/>
                <w14:textFill>
                  <w14:solidFill>
                    <w14:schemeClr w14:val="tx1"/>
                  </w14:solidFill>
                </w14:textFill>
              </w:rPr>
              <w:t>+1+1</w:t>
            </w:r>
            <w:r>
              <w:rPr>
                <w:rFonts w:hint="eastAsia" w:ascii="仿宋" w:hAnsi="仿宋" w:eastAsia="仿宋" w:cs="宋体"/>
                <w:color w:val="000000" w:themeColor="text1"/>
                <w:kern w:val="0"/>
                <w14:textFill>
                  <w14:solidFill>
                    <w14:schemeClr w14:val="tx1"/>
                  </w14:solidFill>
                </w14:textFill>
              </w:rPr>
              <w:t>”</w:t>
            </w:r>
            <w:r>
              <w:rPr>
                <w:rFonts w:ascii="仿宋" w:hAnsi="仿宋" w:eastAsia="仿宋" w:cs="宋体"/>
                <w:color w:val="000000" w:themeColor="text1"/>
                <w:kern w:val="0"/>
                <w14:textFill>
                  <w14:solidFill>
                    <w14:schemeClr w14:val="tx1"/>
                  </w14:solidFill>
                </w14:textFill>
              </w:rPr>
              <w:t>留德继续攻读硕士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免学费、交注册费228欧元/学期，其他费用由学生自理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（4）较强的英语沟通能力（雅思不低于6，托福不低于79或通过对方面试）；</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（5）需通过德国学校教师的AP</w:t>
            </w:r>
            <w:r>
              <w:rPr>
                <w:rFonts w:ascii="仿宋" w:hAnsi="仿宋" w:eastAsia="仿宋" w:cs="宋体"/>
                <w:color w:val="000000" w:themeColor="text1"/>
                <w:kern w:val="0"/>
                <w:shd w:val="clear" w:color="auto" w:fill="FFFFFF"/>
                <w14:textFill>
                  <w14:solidFill>
                    <w14:schemeClr w14:val="tx1"/>
                  </w14:solidFill>
                </w14:textFill>
              </w:rPr>
              <w:t>S</w:t>
            </w:r>
            <w:r>
              <w:rPr>
                <w:rFonts w:hint="eastAsia" w:ascii="仿宋" w:hAnsi="仿宋" w:eastAsia="仿宋" w:cs="宋体"/>
                <w:color w:val="000000" w:themeColor="text1"/>
                <w:kern w:val="0"/>
                <w:shd w:val="clear" w:color="auto" w:fill="FFFFFF"/>
                <w14:textFill>
                  <w14:solidFill>
                    <w14:schemeClr w14:val="tx1"/>
                  </w14:solidFill>
                </w14:textFill>
              </w:rPr>
              <w:t>考试（英语语言考试和申请材料审核）</w:t>
            </w:r>
            <w:r>
              <w:rPr>
                <w:rFonts w:ascii="仿宋" w:hAnsi="仿宋" w:eastAsia="仿宋" w:cs="宋体"/>
                <w:color w:val="000000" w:themeColor="text1"/>
                <w:kern w:val="0"/>
                <w:shd w:val="clear" w:color="auto" w:fill="FFFFFF"/>
                <w14:textFill>
                  <w14:solidFill>
                    <w14:schemeClr w14:val="tx1"/>
                  </w14:solidFill>
                </w14:textFill>
              </w:rPr>
              <w:t>,</w:t>
            </w:r>
            <w:r>
              <w:rPr>
                <w:rFonts w:hint="eastAsia" w:ascii="仿宋" w:hAnsi="仿宋" w:eastAsia="仿宋" w:cs="宋体"/>
                <w:color w:val="000000" w:themeColor="text1"/>
                <w:kern w:val="0"/>
                <w:shd w:val="clear" w:color="auto" w:fill="FFFFFF"/>
                <w14:textFill>
                  <w14:solidFill>
                    <w14:schemeClr w14:val="tx1"/>
                  </w14:solidFill>
                </w14:textFill>
              </w:rPr>
              <w:t>我校为报名成功的同学集中组织面试。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校内申请材料</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kern w:val="0"/>
                <w14:textFill>
                  <w14:solidFill>
                    <w14:schemeClr w14:val="tx1"/>
                  </w14:solidFill>
                </w14:textFill>
              </w:rPr>
              <w:t xml:space="preserve"> ，择优录取</w:t>
            </w:r>
            <w:r>
              <w:rPr>
                <w:rFonts w:hint="eastAsia" w:ascii="仿宋" w:hAnsi="仿宋" w:eastAsia="仿宋" w:cs="宋体"/>
                <w:color w:val="000000" w:themeColor="text1"/>
                <w:kern w:val="0"/>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勃兰登堡工业大学（简称BTU)是位于德国境内</w:t>
            </w:r>
            <w:r>
              <w:fldChar w:fldCharType="begin"/>
            </w:r>
            <w:r>
              <w:instrText xml:space="preserve"> HYPERLINK "https://baike.baidu.com/item/%E5%8B%83%E5%85%B0%E7%99%BB%E5%A0%A1%E5%B7%9E/5446866" \t "_blank" </w:instrText>
            </w:r>
            <w:r>
              <w:fldChar w:fldCharType="separate"/>
            </w:r>
            <w:r>
              <w:rPr>
                <w:rStyle w:val="35"/>
                <w:rFonts w:hint="eastAsia" w:ascii="仿宋" w:hAnsi="仿宋" w:eastAsia="仿宋" w:cs="宋体"/>
                <w:color w:val="000000" w:themeColor="text1"/>
                <w:kern w:val="0"/>
                <w14:textFill>
                  <w14:solidFill>
                    <w14:schemeClr w14:val="tx1"/>
                  </w14:solidFill>
                </w14:textFill>
              </w:rPr>
              <w:t>勃兰登堡州</w:t>
            </w:r>
            <w:r>
              <w:rPr>
                <w:rStyle w:val="35"/>
                <w:rFonts w:hint="eastAsia" w:ascii="仿宋" w:hAnsi="仿宋" w:eastAsia="仿宋" w:cs="宋体"/>
                <w:color w:val="000000" w:themeColor="text1"/>
                <w:kern w:val="0"/>
                <w14:textFill>
                  <w14:solidFill>
                    <w14:schemeClr w14:val="tx1"/>
                  </w14:solidFill>
                </w14:textFill>
              </w:rPr>
              <w:fldChar w:fldCharType="end"/>
            </w:r>
            <w:r>
              <w:fldChar w:fldCharType="begin"/>
            </w:r>
            <w:r>
              <w:instrText xml:space="preserve"> HYPERLINK "https://baike.baidu.com/item/%E7%A7%91%E7%89%B9%E5%B8%83%E6%96%AF%E5%B8%82/3720776" \t "_blank" </w:instrText>
            </w:r>
            <w:r>
              <w:fldChar w:fldCharType="separate"/>
            </w:r>
            <w:r>
              <w:rPr>
                <w:rStyle w:val="35"/>
                <w:rFonts w:hint="eastAsia" w:ascii="仿宋" w:hAnsi="仿宋" w:eastAsia="仿宋" w:cs="宋体"/>
                <w:color w:val="000000" w:themeColor="text1"/>
                <w:kern w:val="0"/>
                <w14:textFill>
                  <w14:solidFill>
                    <w14:schemeClr w14:val="tx1"/>
                  </w14:solidFill>
                </w14:textFill>
              </w:rPr>
              <w:t>科特布斯市</w:t>
            </w:r>
            <w:r>
              <w:rPr>
                <w:rStyle w:val="35"/>
                <w:rFonts w:hint="eastAsia" w:ascii="仿宋" w:hAnsi="仿宋" w:eastAsia="仿宋" w:cs="宋体"/>
                <w:color w:val="000000" w:themeColor="text1"/>
                <w:kern w:val="0"/>
                <w14:textFill>
                  <w14:solidFill>
                    <w14:schemeClr w14:val="tx1"/>
                  </w14:solidFill>
                </w14:textFill>
              </w:rPr>
              <w:fldChar w:fldCharType="end"/>
            </w:r>
            <w:r>
              <w:rPr>
                <w:rFonts w:hint="eastAsia" w:ascii="仿宋" w:hAnsi="仿宋" w:eastAsia="仿宋" w:cs="宋体"/>
                <w:color w:val="000000" w:themeColor="text1"/>
                <w:kern w:val="0"/>
                <w14:textFill>
                  <w14:solidFill>
                    <w14:schemeClr w14:val="tx1"/>
                  </w14:solidFill>
                </w14:textFill>
              </w:rPr>
              <w:t>的一所工科性质的综合性大学。同时，该大学也是勃兰登堡州第一大重点工业大学且也是唯一的一所较大规模的大学。勃兰登堡工业大学是国际公认的，创新型的技术大学。重点专业为：环境、能源、材料、建筑、信息和通信技术。主要有四个学院：自然科学与计算机学院、建筑设计规划学院、机械电气工程学院、环境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4"/>
        <w:jc w:val="center"/>
        <w:rPr>
          <w:rFonts w:ascii="仿宋" w:hAnsi="仿宋" w:eastAsia="仿宋"/>
          <w:sz w:val="36"/>
          <w:szCs w:val="36"/>
        </w:rPr>
      </w:pPr>
    </w:p>
    <w:p>
      <w:pPr>
        <w:pStyle w:val="4"/>
        <w:jc w:val="center"/>
        <w:rPr>
          <w:rFonts w:ascii="仿宋" w:hAnsi="仿宋" w:eastAsia="仿宋"/>
          <w:sz w:val="36"/>
          <w:szCs w:val="36"/>
        </w:rPr>
      </w:pPr>
      <w:bookmarkStart w:id="10" w:name="_Toc17663"/>
      <w:r>
        <w:rPr>
          <w:rFonts w:hint="eastAsia" w:ascii="仿宋" w:hAnsi="仿宋" w:eastAsia="仿宋"/>
          <w:sz w:val="36"/>
          <w:szCs w:val="36"/>
        </w:rPr>
        <w:t>西班牙马德里理工大学</w:t>
      </w:r>
      <w:bookmarkEnd w:id="1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能源动力与机械工程学院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德里理工大学始建于1971年，是西班牙办学规模最大、历史最悠久的专业性理工大学，同时也是西班牙专攻工程技术与自然科学的著名理工大学。雄厚的师资力量和强大的综合实力让马德里理工大学长期保持着在西班牙教育界的领先地位。其建筑、土木、机械、航空航天、能源等工程类专业均处于西班牙顶尖及欧洲的一流水平，在全世界也享有盛誉。学校由几所工程和建筑类学校合并而成，位于西班牙马德里自治区，其大部分校区位于自治区首府也是西班牙的首都马德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11" w:name="_Toc4123"/>
      <w:r>
        <w:rPr>
          <w:rFonts w:hint="eastAsia" w:ascii="仿宋" w:hAnsi="仿宋" w:eastAsia="仿宋"/>
          <w:sz w:val="36"/>
          <w:szCs w:val="36"/>
        </w:rPr>
        <w:t>加拿大里贾纳大学</w:t>
      </w:r>
      <w:bookmarkEnd w:id="1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可再生能源学院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（4）较强的英语沟通能力（托福高于95或雅思高于6.5或通过对方的语言面试）。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里贾纳大学是加拿大和中国高校开展合作交流的首批外国高校。在加拿大综合类大学排名中保持前十，2016年被英国《泰晤士高等教育》列入世界新兴高校（创办历史不超过50年）排名前150名的高校名单，是获此荣誉的加拿大四所高校之一。本科专业：会计学、保险统计计算科学、人类学、管理学、市场营销、工商管理、生物化学、生物学、化学、计算机科学、通信、戏剧、教育学、环境生物学、财政学、地理学、地质学、新闻、运动机能学、数学、物理、心理学、公共管理、视觉艺术、宗教研究等等。、经济学、政治学、人类司法、社会学及社会研究、妇女研究、环境系统工程、电子信息系统、工业及石油系统、电影电视、体育管理、天文学、数学和统计学、音乐、历史、绘画、哲学等。2016年TIMES世界大学800强排名 501-600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color w:val="000000" w:themeColor="text1"/>
          <w14:textFill>
            <w14:solidFill>
              <w14:schemeClr w14:val="tx1"/>
            </w14:solidFill>
          </w14:textFill>
        </w:rPr>
      </w:pPr>
    </w:p>
    <w:p>
      <w:pPr>
        <w:pStyle w:val="4"/>
        <w:jc w:val="center"/>
        <w:rPr>
          <w:rFonts w:ascii="仿宋" w:hAnsi="仿宋" w:eastAsia="仿宋" w:cs="宋体"/>
          <w:b w:val="0"/>
          <w:bCs/>
          <w:color w:val="000000" w:themeColor="text1"/>
          <w:sz w:val="36"/>
          <w:szCs w:val="36"/>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ab/>
      </w:r>
      <w:bookmarkStart w:id="12" w:name="_Toc19259"/>
      <w:r>
        <w:rPr>
          <w:rFonts w:hint="eastAsia" w:ascii="仿宋" w:hAnsi="仿宋" w:eastAsia="仿宋"/>
          <w:sz w:val="36"/>
          <w:szCs w:val="36"/>
        </w:rPr>
        <w:t>波兰弗罗茨瓦夫理工大学</w:t>
      </w:r>
      <w:bookmarkEnd w:id="12"/>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不限（本人需有</w:t>
            </w:r>
            <w:r>
              <w:rPr>
                <w:rFonts w:ascii="仿宋" w:hAnsi="仿宋" w:eastAsia="仿宋" w:cs="宋体"/>
                <w:color w:val="000000" w:themeColor="text1"/>
                <w14:textFill>
                  <w14:solidFill>
                    <w14:schemeClr w14:val="tx1"/>
                  </w14:solidFill>
                </w14:textFill>
              </w:rPr>
              <w:t>与</w:t>
            </w:r>
            <w:r>
              <w:rPr>
                <w:rFonts w:hint="eastAsia" w:ascii="仿宋" w:hAnsi="仿宋" w:eastAsia="仿宋" w:cs="宋体"/>
                <w:color w:val="000000" w:themeColor="text1"/>
                <w14:textFill>
                  <w14:solidFill>
                    <w14:schemeClr w14:val="tx1"/>
                  </w14:solidFill>
                </w14:textFill>
              </w:rPr>
              <w:t>波兰伙伴校符合的相关专业课程，具体</w:t>
            </w:r>
            <w:r>
              <w:rPr>
                <w:rFonts w:ascii="仿宋" w:hAnsi="仿宋" w:eastAsia="仿宋" w:cs="宋体"/>
                <w:color w:val="000000" w:themeColor="text1"/>
                <w14:textFill>
                  <w14:solidFill>
                    <w14:schemeClr w14:val="tx1"/>
                  </w14:solidFill>
                </w14:textFill>
              </w:rPr>
              <w:t>专业课程请赴波兰弗洛茨瓦夫理工大学官网查询</w:t>
            </w:r>
            <w:r>
              <w:rPr>
                <w:rFonts w:hint="eastAsia" w:ascii="仿宋" w:hAnsi="仿宋" w:eastAsia="仿宋"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（4）较强的英语沟通能力（无需雅思托福成绩，但需通过对方院校面试）。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弗罗兹瓦夫理工大学（以下简称弗理工）创建于1945年。大学前身是1910年成立的弗罗茨瓦夫理工学院。二次世界大战结束后，1945年11月15日弗理工开始了第一次授课，从此这天被大学定为奠基庆典日。作为波兰最大的理工科大学之一，弗理工现有在校学生31,936人，全日制学生25604人。分主校区弗罗茨瓦夫和三个分校区。至今160多年的学术遗产使弗罗茨瓦夫理工大学能够援引欧洲大学的传统，突出的研究与教学的成果使弗罗兹瓦夫理工大学跻身波兰最好的技术性大学，在</w:t>
            </w:r>
            <w:r>
              <w:rPr>
                <w:rFonts w:hint="eastAsia" w:ascii="仿宋" w:hAnsi="仿宋" w:eastAsia="仿宋" w:cs="宋体"/>
                <w:color w:val="000000" w:themeColor="text1"/>
                <w:sz w:val="24"/>
                <w14:textFill>
                  <w14:solidFill>
                    <w14:schemeClr w14:val="tx1"/>
                  </w14:solidFill>
                </w14:textFill>
              </w:rPr>
              <w:t>波兰高校Perspektywy ranking中综合排名第4，工程学科排名第2。</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p>
    <w:p>
      <w:pPr>
        <w:pStyle w:val="4"/>
        <w:jc w:val="center"/>
        <w:rPr>
          <w:rFonts w:ascii="仿宋" w:hAnsi="仿宋" w:eastAsia="仿宋"/>
          <w:sz w:val="36"/>
          <w:szCs w:val="36"/>
        </w:rPr>
      </w:pPr>
      <w:bookmarkStart w:id="13" w:name="_Toc1905"/>
      <w:r>
        <w:rPr>
          <w:rFonts w:hint="eastAsia" w:ascii="仿宋" w:hAnsi="仿宋" w:eastAsia="仿宋"/>
          <w:sz w:val="36"/>
          <w:szCs w:val="36"/>
        </w:rPr>
        <w:t>荷兰格罗宁根大学</w:t>
      </w:r>
      <w:bookmarkEnd w:id="13"/>
    </w:p>
    <w:tbl>
      <w:tblPr>
        <w:tblStyle w:val="3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985" w:type="dxa"/>
          </w:tcPr>
          <w:p>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487" w:type="dxa"/>
          </w:tcPr>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荷兰格罗宁根大学本硕连读3+1+2项目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487"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本科前三年在华北电力大学，大四学年赴荷兰读书，成绩优异的同学继续攻读2年硕士。本科获得华北电力大学学士学位，硕士获得格罗宁根大学学位。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487"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487"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487"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487"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1学年＋硕士1年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487"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3＋1（免学费）＋1（硕士期间正常交学费）</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请咨询荷兰格罗宁根大学官网</w:t>
            </w:r>
            <w:r>
              <w:rPr>
                <w:rFonts w:ascii="仿宋" w:hAnsi="仿宋" w:eastAsia="仿宋" w:cs="宋体"/>
                <w:color w:val="000000" w:themeColor="text1"/>
                <w14:textFill>
                  <w14:solidFill>
                    <w14:schemeClr w14:val="tx1"/>
                  </w14:solidFill>
                </w14:textFill>
              </w:rPr>
              <w:t>https://www.rug.nl/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487"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（4）较强的英语沟通能力，有雅思托福成绩优先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487"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487"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格罗宁根大学（英文：University of Groningen）是荷兰仅次于莱顿大学的第二所大学，创建于1614年，世界百强名校，是欧洲最古老的大学之一，自17世纪建校以来，学校吸引了大量的外国留学生和教授。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487"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rPr>
          <w:rFonts w:ascii="仿宋" w:hAnsi="仿宋" w:eastAsia="仿宋"/>
        </w:rPr>
      </w:pPr>
    </w:p>
    <w:p>
      <w:pPr>
        <w:pStyle w:val="4"/>
        <w:jc w:val="center"/>
        <w:rPr>
          <w:rFonts w:ascii="仿宋" w:hAnsi="仿宋" w:eastAsia="仿宋"/>
          <w:sz w:val="36"/>
          <w:szCs w:val="36"/>
        </w:rPr>
      </w:pPr>
      <w:bookmarkStart w:id="14" w:name="_Toc323"/>
      <w:r>
        <w:rPr>
          <w:rFonts w:hint="eastAsia" w:ascii="仿宋" w:hAnsi="仿宋" w:eastAsia="仿宋"/>
          <w:sz w:val="36"/>
          <w:szCs w:val="36"/>
        </w:rPr>
        <w:t>克罗地亚萨格勒布大学</w:t>
      </w:r>
      <w:bookmarkEnd w:id="14"/>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控制与计算机学院，电气与电子工程学院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免学费，其余费用自理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水平，获通过语言面试。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lang w:bidi="ar"/>
                <w14:textFill>
                  <w14:solidFill>
                    <w14:schemeClr w14:val="tx1"/>
                  </w14:solidFill>
                </w14:textFill>
              </w:rPr>
              <w:t>萨格勒布大学位于克罗地亚首都萨格勒布，学校拥有7900名教师，70000余名学生。该校成立于1669年，是维也纳以南的中欧地区和欧洲东南部地区最古老的一所大学。同时，该校也是克罗地亚最大的一所大学。萨格勒布大学是一所全科综合性大学，学校设有全科学领域教研专业，包括艺术、生物医学、生物工程、工程学、人文科学、自然科学与社会科学。萨格勒布大学设有从本科到研究生阶段专业课程，共涵盖29个系所，3个艺术中心。萨格勒布大学是克罗地亚的研究中心，是国家教育机构的一面旗帜。</w:t>
            </w:r>
            <w:r>
              <w:rPr>
                <w:rFonts w:hint="eastAsia" w:ascii="仿宋" w:hAnsi="仿宋" w:eastAsia="仿宋" w:cs="宋体"/>
                <w:color w:val="000000" w:themeColor="text1"/>
                <w:sz w:val="24"/>
                <w14:textFill>
                  <w14:solidFill>
                    <w14:schemeClr w14:val="tx1"/>
                  </w14:solidFill>
                </w14:textFill>
              </w:rPr>
              <w:t>自1874年以来，萨格勒布大学共计培养超过20万名本科生，1万8千名硕士和8千名博士。2018世界大学排名（CWUR）位列第463名。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15" w:name="_Toc25313"/>
      <w:r>
        <w:rPr>
          <w:rFonts w:hint="eastAsia" w:ascii="仿宋" w:hAnsi="仿宋" w:eastAsia="仿宋"/>
          <w:sz w:val="36"/>
          <w:szCs w:val="36"/>
        </w:rPr>
        <w:t>韩国延世大学</w:t>
      </w:r>
      <w:bookmarkEnd w:id="1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1（免费）；不限（自费）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1名学生免学费，其他31000元/学期</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请咨询延世大学官网https://www.yonsei.ac.kr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（3）品学兼优，学习成绩排名前列，GPA不低于2.5/4.0;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（4）较强的英语沟通能力（要求雅思不低于6.5或托福不低于79）。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hd w:val="clear" w:color="auto" w:fill="FFFFFF"/>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延世大学位于韩国首尔，是一所以基督教精神建立的世界顶尖研究型综合大学，与首尔大学和高丽大学并称为韩国大学的一片天，位列韩国SKY顶尖大学第3位，韩国公认最著名的三所大学之一。为环太平洋大学联盟成员。世界大学排名中一直名列全球前150位以内，成立于1885年，是韩国最古老的大学。2019泰晤士世界大学排名商业、创新、基础设施世界第一。学校设置文科学院、教育科学学院、神科学院、商经学院、社会科学学院、法科学院、理科学院、生活科学学院、牙科学院、护理学院、工科学院经、法学院、保健科学院、医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ab/>
      </w:r>
    </w:p>
    <w:p>
      <w:pPr>
        <w:pStyle w:val="4"/>
        <w:jc w:val="center"/>
        <w:rPr>
          <w:rFonts w:ascii="仿宋" w:hAnsi="仿宋" w:eastAsia="仿宋"/>
          <w:sz w:val="36"/>
          <w:szCs w:val="36"/>
        </w:rPr>
      </w:pPr>
      <w:bookmarkStart w:id="16" w:name="_Toc377"/>
      <w:r>
        <w:rPr>
          <w:rFonts w:hint="eastAsia" w:ascii="仿宋" w:hAnsi="仿宋" w:eastAsia="仿宋"/>
          <w:sz w:val="36"/>
          <w:szCs w:val="36"/>
        </w:rPr>
        <w:t>韩国首尔市立大学</w:t>
      </w:r>
      <w:bookmarkEnd w:id="1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详情请咨询韩国首尔市立大学官网</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https://www.uos.ac.kr/en/main.do?epTicket=LOG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首尔市立大学每月提供约2200元/月生活费用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（4）较强的英语沟通能力（建议提供语言成绩）。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首尔市立大学(英文：The University of Seoul 韩文：</w:t>
            </w:r>
            <w:r>
              <w:rPr>
                <w:rFonts w:hint="eastAsia" w:ascii="Malgun Gothic" w:hAnsi="Malgun Gothic" w:eastAsia="Malgun Gothic" w:cs="Malgun Gothic"/>
                <w:color w:val="000000" w:themeColor="text1"/>
                <w:shd w:val="clear" w:color="auto" w:fill="FFFFFF"/>
                <w14:textFill>
                  <w14:solidFill>
                    <w14:schemeClr w14:val="tx1"/>
                  </w14:solidFill>
                </w14:textFill>
              </w:rPr>
              <w:t>서울시립대학교</w:t>
            </w:r>
            <w:r>
              <w:rPr>
                <w:rFonts w:hint="eastAsia" w:ascii="仿宋" w:hAnsi="仿宋" w:eastAsia="仿宋" w:cs="宋体"/>
                <w:color w:val="000000" w:themeColor="text1"/>
                <w:shd w:val="clear" w:color="auto" w:fill="FFFFFF"/>
                <w14:textFill>
                  <w14:solidFill>
                    <w14:schemeClr w14:val="tx1"/>
                  </w14:solidFill>
                </w14:textFill>
              </w:rPr>
              <w:t xml:space="preserve">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17" w:name="_Toc2378"/>
      <w:r>
        <w:rPr>
          <w:rFonts w:hint="eastAsia" w:ascii="仿宋" w:hAnsi="仿宋" w:eastAsia="仿宋"/>
          <w:sz w:val="36"/>
          <w:szCs w:val="36"/>
        </w:rPr>
        <w:t>韩国庆北大学</w:t>
      </w:r>
      <w:bookmarkEnd w:id="1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ind w:left="226" w:right="226"/>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每年选拔2名优秀本科生或研究生进行一学期的学习。学生学习结束后，可将相关学分转换回我校。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r>
              <w:rPr>
                <w:rFonts w:hint="eastAsia" w:ascii="仿宋" w:hAnsi="仿宋" w:eastAsia="仿宋" w:cs="宋体"/>
                <w:color w:val="000000" w:themeColor="text1"/>
                <w:shd w:val="clear" w:color="auto" w:fill="FFFFFF"/>
                <w14:textFill>
                  <w14:solidFill>
                    <w14:schemeClr w14:val="tx1"/>
                  </w14:solidFill>
                </w14:textFill>
              </w:rPr>
              <w:t>一个学期的宿舍费大概1000美元包括一日三餐。</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详情请咨询庆北大学官网http://cn.knu.ac.kr/admission/exchange01.htm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ind w:right="226"/>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hd w:val="clear" w:color="auto" w:fill="FFFFFF"/>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Style w:val="33"/>
                <w:rFonts w:hint="eastAsia" w:ascii="仿宋" w:hAnsi="仿宋" w:eastAsia="仿宋" w:cs="宋体"/>
                <w:b w:val="0"/>
                <w:bCs/>
                <w:color w:val="000000" w:themeColor="text1"/>
                <w:shd w:val="clear" w:color="auto" w:fill="FFFFFF"/>
                <w14:textFill>
                  <w14:solidFill>
                    <w14:schemeClr w14:val="tx1"/>
                  </w14:solidFill>
                </w14:textFill>
              </w:rPr>
              <w:t>庆北大学</w:t>
            </w:r>
            <w:r>
              <w:rPr>
                <w:rFonts w:hint="eastAsia" w:ascii="仿宋" w:hAnsi="仿宋" w:eastAsia="仿宋" w:cs="宋体"/>
                <w:bCs/>
                <w:color w:val="000000" w:themeColor="text1"/>
                <w:shd w:val="clear" w:color="auto" w:fill="FFFFFF"/>
                <w14:textFill>
                  <w14:solidFill>
                    <w14:schemeClr w14:val="tx1"/>
                  </w14:solidFill>
                </w14:textFill>
              </w:rPr>
              <w:t>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18" w:name="_Toc32063"/>
      <w:r>
        <w:rPr>
          <w:rFonts w:hint="eastAsia" w:ascii="仿宋" w:hAnsi="仿宋" w:eastAsia="仿宋"/>
          <w:sz w:val="36"/>
          <w:szCs w:val="36"/>
        </w:rPr>
        <w:t>韩国淑明女子大学</w:t>
      </w:r>
      <w:bookmarkEnd w:id="1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不限（免学费名额2人）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请咨询淑明女子大学官网http://www.sookmyung.ac.kr/sookmyungkr/index.do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申请免学费GPA3.0以上建议提供韩语成绩或托福成绩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韩国女性教育发源地 -淑明女子大学校是在大韩帝国时期1906年由</w:t>
            </w:r>
            <w:r>
              <w:fldChar w:fldCharType="begin"/>
            </w:r>
            <w:r>
              <w:instrText xml:space="preserve"> HYPERLINK "https://baike.baidu.com/item/%E6%9C%9D%E9%B2%9C%E9%AB%98%E5%AE%97/1546268"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朝鲜高宗</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之</w:t>
            </w:r>
            <w:r>
              <w:fldChar w:fldCharType="begin"/>
            </w:r>
            <w:r>
              <w:instrText xml:space="preserve"> HYPERLINK "https://baike.baidu.com/item/%E7%BA%AF%E7%8C%AE%E7%9A%87%E8%B4%B5%E5%A6%83/8128026"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纯献皇贵妃</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亲自设立的大学，是国内首次创建的民族女性私立学府。</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淑明女子大学建校以来以唤醒培养女性所具备的潜在力量和品行兼备的女性领导者为己任。淑明女子大学是韩国的私立综合女性大学，是韩国最早的女性教育机构。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19" w:name="_Toc7318"/>
      <w:r>
        <w:rPr>
          <w:rFonts w:hint="eastAsia" w:ascii="仿宋" w:hAnsi="仿宋" w:eastAsia="仿宋"/>
          <w:sz w:val="36"/>
          <w:szCs w:val="36"/>
        </w:rPr>
        <w:t>韩国祥明大学</w:t>
      </w:r>
      <w:bookmarkEnd w:id="19"/>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1991"/>
        <w:gridCol w:w="6504"/>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项目内容</w:t>
            </w:r>
          </w:p>
        </w:tc>
        <w:tc>
          <w:tcPr>
            <w:tcW w:w="6504" w:type="dxa"/>
            <w:vAlign w:val="center"/>
          </w:tcPr>
          <w:p>
            <w:pPr>
              <w:pStyle w:val="27"/>
              <w:widowControl/>
              <w:shd w:val="clear" w:color="auto" w:fill="FFFFFF"/>
              <w:jc w:val="left"/>
              <w:rPr>
                <w:rFonts w:ascii="仿宋" w:hAnsi="仿宋" w:eastAsia="仿宋" w:cs="宋体"/>
                <w:bCs/>
                <w:color w:val="000000" w:themeColor="text1"/>
                <w:spacing w:val="8"/>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每年选派2名优秀本科生或研究生到对方进行一学期或一学年的学习。学习结束后，可将相关学分转换回我校。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选派专业</w:t>
            </w:r>
          </w:p>
        </w:tc>
        <w:tc>
          <w:tcPr>
            <w:tcW w:w="6504" w:type="dxa"/>
            <w:vAlign w:val="center"/>
          </w:tcPr>
          <w:p>
            <w:pPr>
              <w:pStyle w:val="27"/>
              <w:shd w:val="clear" w:color="auto" w:fill="FFFFFF"/>
              <w:rPr>
                <w:rFonts w:ascii="仿宋" w:hAnsi="仿宋" w:eastAsia="仿宋" w:cs="宋体"/>
                <w:bCs/>
                <w:color w:val="000000" w:themeColor="text1"/>
                <w:spacing w:val="8"/>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专业不限。外方为留学生开设收费韩语学习课程详情请参考http://cklc.smu.ac.kr/</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选派类别</w:t>
            </w:r>
          </w:p>
        </w:tc>
        <w:tc>
          <w:tcPr>
            <w:tcW w:w="6504" w:type="dxa"/>
            <w:vAlign w:val="center"/>
          </w:tcPr>
          <w:p>
            <w:pPr>
              <w:pStyle w:val="27"/>
              <w:shd w:val="clear" w:color="auto" w:fill="FFFFFF"/>
              <w:rPr>
                <w:rFonts w:ascii="仿宋" w:hAnsi="仿宋" w:eastAsia="仿宋" w:cs="宋体"/>
                <w:bCs/>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选派人数</w:t>
            </w:r>
          </w:p>
        </w:tc>
        <w:tc>
          <w:tcPr>
            <w:tcW w:w="6504" w:type="dxa"/>
            <w:vAlign w:val="center"/>
          </w:tcPr>
          <w:p>
            <w:pPr>
              <w:pStyle w:val="27"/>
              <w:shd w:val="clear" w:color="auto" w:fill="FFFFFF"/>
              <w:rPr>
                <w:rFonts w:ascii="仿宋" w:hAnsi="仿宋" w:eastAsia="仿宋" w:cs="宋体"/>
                <w:bCs/>
                <w:color w:val="000000" w:themeColor="text1"/>
                <w:spacing w:val="8"/>
                <w14:textFill>
                  <w14:solidFill>
                    <w14:schemeClr w14:val="tx1"/>
                  </w14:solidFill>
                </w14:textFill>
              </w:rPr>
            </w:pPr>
            <w:r>
              <w:rPr>
                <w:rFonts w:hint="eastAsia" w:ascii="仿宋" w:hAnsi="仿宋" w:eastAsia="仿宋" w:cs="宋体"/>
                <w:bCs/>
                <w:color w:val="000000" w:themeColor="text1"/>
                <w:spacing w:val="8"/>
                <w14:textFill>
                  <w14:solidFill>
                    <w14:schemeClr w14:val="tx1"/>
                  </w14:solidFill>
                </w14:textFill>
              </w:rPr>
              <w:t>2个免学费名额</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交流期限</w:t>
            </w:r>
          </w:p>
        </w:tc>
        <w:tc>
          <w:tcPr>
            <w:tcW w:w="6504" w:type="dxa"/>
            <w:vAlign w:val="center"/>
          </w:tcPr>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1学期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申请要求</w:t>
            </w:r>
          </w:p>
        </w:tc>
        <w:tc>
          <w:tcPr>
            <w:tcW w:w="6504" w:type="dxa"/>
            <w:vAlign w:val="center"/>
          </w:tcPr>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1. 热爱祖国、热爱学校，拥护祖国和平统一方针，具备国内外时事政治方面相关知识。</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2. 德、智、体全面发展，综合素质良好。</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3. 成绩要求: 学分绩点3.0及以上。</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4. 外语要求：建议提供相关外语成绩证明</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申请材料</w:t>
            </w:r>
          </w:p>
        </w:tc>
        <w:tc>
          <w:tcPr>
            <w:tcW w:w="6504" w:type="dxa"/>
            <w:vAlign w:val="center"/>
          </w:tcPr>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1. 祥明大学交换生报名表</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2.交换生住宿申请表</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3.个人相关中文成绩单及相关外语成绩证明</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4.个人护照的复印件</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5.个人交换后的学习计划</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6.相关的医疗证明</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7.本人照片</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申请方法</w:t>
            </w:r>
          </w:p>
        </w:tc>
        <w:tc>
          <w:tcPr>
            <w:tcW w:w="6504" w:type="dxa"/>
            <w:vAlign w:val="center"/>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院校简介</w:t>
            </w:r>
          </w:p>
        </w:tc>
        <w:tc>
          <w:tcPr>
            <w:tcW w:w="6504" w:type="dxa"/>
            <w:vAlign w:val="center"/>
          </w:tcPr>
          <w:p>
            <w:pPr>
              <w:pStyle w:val="27"/>
              <w:shd w:val="clear" w:color="auto" w:fill="FFFFFF"/>
              <w:rPr>
                <w:rFonts w:ascii="仿宋" w:hAnsi="仿宋" w:eastAsia="仿宋" w:cs="宋体"/>
                <w:bCs/>
                <w:color w:val="000000" w:themeColor="text1"/>
                <w:spacing w:val="8"/>
                <w14:textFill>
                  <w14:solidFill>
                    <w14:schemeClr w14:val="tx1"/>
                  </w14:solidFill>
                </w14:textFill>
              </w:rPr>
            </w:pPr>
            <w:r>
              <w:rPr>
                <w:rFonts w:hint="eastAsia" w:ascii="仿宋" w:hAnsi="仿宋" w:eastAsia="仿宋" w:cs="宋体"/>
                <w:bCs/>
                <w:color w:val="000000" w:themeColor="text1"/>
                <w:spacing w:val="8"/>
                <w14:textFill>
                  <w14:solidFill>
                    <w14:schemeClr w14:val="tx1"/>
                  </w14:solidFill>
                </w14:textFill>
              </w:rPr>
              <w:t>韩国祥明大学成立于1937年，是一所注重人文科学、自然科学、艺术科学、体育科学相结合的韩国著名综合性大学。祥明大学先后被选定为“韩国教育部ACE教学先导事业团”、“韩国CK特性化7大事业团”、“韩国大学ICT研究中心”。在2016年韩国“中央日报”大学排名中，祥明大学位列全国23位。祥明大学作为注重科学技术和现代化教育改革的先进性综合知名私立大学，分别于首尔市和天安市设立校区。</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20" w:name="_Toc13471"/>
      <w:r>
        <w:rPr>
          <w:rFonts w:hint="eastAsia" w:ascii="仿宋" w:hAnsi="仿宋" w:eastAsia="仿宋"/>
          <w:sz w:val="36"/>
          <w:szCs w:val="36"/>
        </w:rPr>
        <w:t>韩国光云大学</w:t>
      </w:r>
      <w:bookmarkEnd w:id="2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免学费，1学期所有生活费用大约为20000人民币</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详情请咨询韩国光云大学官网https://www.kw.ac.kr/en/index.do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光云大学创立于1938年，位于首尔芦原区。为韩国著名的理工科大学，在电子技术和计算机领域驰名韩国，它在韩国开创了电子工学研究的历史，同时这里也孕育了韩国第一个机器人学部（系），其学生在历届全球机器人大赛中屡次取得较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21" w:name="_Toc4939"/>
      <w:r>
        <w:rPr>
          <w:rFonts w:hint="eastAsia" w:ascii="仿宋" w:hAnsi="仿宋" w:eastAsia="仿宋"/>
          <w:sz w:val="36"/>
          <w:szCs w:val="36"/>
        </w:rPr>
        <w:t>韩国汉城大学</w:t>
      </w:r>
      <w:bookmarkEnd w:id="2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每年选拔2名优秀本科生到对方进行一学期或一学年的学习。学生学习结束后，可将相关学分转换回我校。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免交学费，需交住宿费等相关费用。住宿费：约900元/月</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请咨询韩城大学官网https://www.hansung.ac.kr/web/www/home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汉城大学成立于1972年12月21日，1987年设置了经营行政研究生院，1988年经营研究生院和行政研究生院分离，1993年升级为综合大学。位于首尔市城北区三仙洞。是韩国大学4年制的综合性私立大学。大学的教育目标是培养具有多样性和创意性的专门人才，培养具有共同体意识和文化性素养的优秀人才，培养具有开放式的思维和国际竞争力的世界性人才。全球高校排名（4ICU）韩国大学排名第48名。学校设有本科，硕士和博士课程包括韩国语、英语、历史文化、知识情报、行政、经济、贸易、房地产、医生活、韩国舞蹈、现代舞蹈、东洋画、西洋画、视觉影像设计、装饰设计、媒体、计算机、信息通信、信息系统、产业系统、机械系统等学科构成，研究生院包括一般研究生院、经营研究生院、行政研究生院、艺术研究生院、国际研究生院、安全保健经营研究生院、数字中小企业研究生院、房地产研究生院、教育研究生院。</w:t>
            </w:r>
            <w:r>
              <w:rPr>
                <w:rFonts w:ascii="Calibri" w:hAnsi="Calibri" w:eastAsia="仿宋" w:cs="Calibri"/>
                <w:color w:val="000000" w:themeColor="text1"/>
                <w:shd w:val="clear" w:color="auto" w:fill="FFFFFF"/>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22" w:name="_Toc10272"/>
      <w:r>
        <w:rPr>
          <w:rFonts w:hint="eastAsia" w:ascii="仿宋" w:hAnsi="仿宋" w:eastAsia="仿宋"/>
          <w:sz w:val="36"/>
          <w:szCs w:val="36"/>
        </w:rPr>
        <w:t>韩国韩巴大学</w:t>
      </w:r>
      <w:bookmarkEnd w:id="2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免交学费，需交住宿费等其他相关费用。</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住宿费：约人民币8000/学期。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热爱祖国，具有良好的政治思想素质，在校期间无违法违纪记录；</w:t>
            </w:r>
          </w:p>
          <w:p>
            <w:pPr>
              <w:pStyle w:val="27"/>
              <w:widowControl/>
              <w:shd w:val="clear" w:color="auto" w:fill="FFFFFF"/>
              <w:jc w:val="left"/>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身心健康，无不适合在外学习的疾病史；</w:t>
            </w:r>
          </w:p>
          <w:p>
            <w:pPr>
              <w:pStyle w:val="27"/>
              <w:widowControl/>
              <w:shd w:val="clear" w:color="auto" w:fill="FFFFFF"/>
              <w:jc w:val="left"/>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品学兼优，学习成绩排名前列，综合表现突出；</w:t>
            </w:r>
          </w:p>
          <w:p>
            <w:pPr>
              <w:pStyle w:val="27"/>
              <w:widowControl/>
              <w:shd w:val="clear" w:color="auto" w:fill="FFFFFF"/>
              <w:jc w:val="left"/>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外语水平优秀者优先。</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（5)</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GPA2.0以上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个人申请表、自我介绍，学习计划，4张证件照 (3*4cm)，护照复印件，在读证明，体检（包括肺结核检查），户口本信息，英文成绩单和院系推荐信。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国立韩巴大学是韩国的一所综合性大学以“诚实、仁和、创造”为校训，1927年4月建校，2001年3月更名为韩巴大学校。学校由机械工程，机械设计工程，电气，电子，控制，土木，环境，都市工学专业，建筑，应用材料，材料，生产加工，计算机，信息通信，媒体，电波，应用化学，生命，产业经营，化学，建筑设备，视觉设计，工业设计，英语，中国语，日语，经营，经济，会计等学科及专业构成，研究生院包括一般研究学院，产业研究生院，信息通信专科研究生院，创业经营研究生院，配套设施有教学楼，图书馆，电算信息院，大学广播社，国际交流院，工学教育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29"/>
        <w:rPr>
          <w:rFonts w:ascii="仿宋" w:hAnsi="仿宋" w:eastAsia="仿宋"/>
          <w:sz w:val="40"/>
        </w:rPr>
      </w:pPr>
      <w:bookmarkStart w:id="23" w:name="_Toc10118"/>
      <w:r>
        <w:rPr>
          <w:rFonts w:hint="eastAsia" w:ascii="仿宋" w:hAnsi="仿宋" w:eastAsia="仿宋"/>
          <w:sz w:val="40"/>
        </w:rPr>
        <w:t>自费项目</w:t>
      </w:r>
      <w:bookmarkEnd w:id="23"/>
    </w:p>
    <w:p>
      <w:pPr>
        <w:pStyle w:val="4"/>
        <w:jc w:val="center"/>
        <w:rPr>
          <w:rFonts w:ascii="仿宋" w:hAnsi="仿宋" w:eastAsia="仿宋"/>
          <w:sz w:val="36"/>
          <w:szCs w:val="36"/>
        </w:rPr>
      </w:pPr>
      <w:bookmarkStart w:id="24" w:name="_Toc15959"/>
      <w:r>
        <w:rPr>
          <w:rFonts w:hint="eastAsia" w:ascii="仿宋" w:hAnsi="仿宋" w:eastAsia="仿宋"/>
          <w:sz w:val="36"/>
          <w:szCs w:val="36"/>
        </w:rPr>
        <w:t>捷克技术大学</w:t>
      </w:r>
      <w:bookmarkEnd w:id="2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学费每学期约为</w:t>
            </w:r>
            <w:r>
              <w:rPr>
                <w:rFonts w:ascii="仿宋" w:hAnsi="仿宋" w:eastAsia="仿宋" w:cs="宋体"/>
                <w:color w:val="000000" w:themeColor="text1"/>
                <w14:textFill>
                  <w14:solidFill>
                    <w14:schemeClr w14:val="tx1"/>
                  </w14:solidFill>
                </w14:textFill>
              </w:rPr>
              <w:t>1650</w:t>
            </w:r>
            <w:r>
              <w:rPr>
                <w:rFonts w:hint="eastAsia" w:ascii="仿宋" w:hAnsi="仿宋" w:eastAsia="仿宋" w:cs="宋体"/>
                <w:color w:val="000000" w:themeColor="text1"/>
                <w14:textFill>
                  <w14:solidFill>
                    <w14:schemeClr w14:val="tx1"/>
                  </w14:solidFill>
                </w14:textFill>
              </w:rPr>
              <w:t>欧元</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请咨询捷克技术大学官网</w:t>
            </w:r>
            <w:r>
              <w:fldChar w:fldCharType="begin"/>
            </w:r>
            <w:r>
              <w:instrText xml:space="preserve"> HYPERLINK "http://www.baidu.com/link?url=ZEVf4AyPgeL1qlOi-8NYLvDJ-rjZ_NrqAS_G1x-OhM3" \t "_blank" </w:instrText>
            </w:r>
            <w:r>
              <w:fldChar w:fldCharType="separate"/>
            </w:r>
            <w:r>
              <w:rPr>
                <w:rStyle w:val="35"/>
                <w:rFonts w:ascii="仿宋" w:hAnsi="仿宋" w:eastAsia="仿宋" w:cs="Arial"/>
                <w:color w:val="000000" w:themeColor="text1"/>
                <w:sz w:val="20"/>
                <w:szCs w:val="20"/>
                <w:shd w:val="clear" w:color="auto" w:fill="FFFFFF"/>
                <w14:textFill>
                  <w14:solidFill>
                    <w14:schemeClr w14:val="tx1"/>
                  </w14:solidFill>
                </w14:textFill>
              </w:rPr>
              <w:t>https://www.cvut.cz/</w:t>
            </w:r>
            <w:r>
              <w:rPr>
                <w:rStyle w:val="35"/>
                <w:rFonts w:ascii="仿宋" w:hAnsi="仿宋" w:eastAsia="仿宋" w:cs="Arial"/>
                <w:color w:val="000000" w:themeColor="text1"/>
                <w:sz w:val="20"/>
                <w:szCs w:val="20"/>
                <w:shd w:val="clear" w:color="auto" w:fill="FFFFFF"/>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（4）较强的英语沟通能力，雅思托福达到欧洲要求b2以上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捷克技术大学是中欧最古老技术大学，工科的教育在捷克有相当长时间的传统。她的前身是1806年成立的工业学院。该校于1920年被核准为大学并更名为捷克技术大学。捷克技术大学是著名的理工科大学，历史悠久，教学科研能力强，捷克技术大学已经跻身于欧洲一流理工大学之列。捷克技术大学的电气工程学院（</w:t>
            </w:r>
            <w:r>
              <w:rPr>
                <w:rFonts w:ascii="仿宋" w:hAnsi="仿宋" w:eastAsia="仿宋" w:cs="宋体"/>
                <w:color w:val="000000" w:themeColor="text1"/>
                <w:sz w:val="24"/>
                <w:shd w:val="clear" w:color="auto" w:fill="FFFFFF"/>
                <w14:textFill>
                  <w14:solidFill>
                    <w14:schemeClr w14:val="tx1"/>
                  </w14:solidFill>
                </w14:textFill>
              </w:rPr>
              <w:t>F</w:t>
            </w:r>
            <w:r>
              <w:rPr>
                <w:rFonts w:hint="eastAsia" w:ascii="仿宋" w:hAnsi="仿宋" w:eastAsia="仿宋" w:cs="宋体"/>
                <w:color w:val="000000" w:themeColor="text1"/>
                <w:sz w:val="24"/>
                <w:shd w:val="clear" w:color="auto" w:fill="FFFFFF"/>
                <w14:textFill>
                  <w14:solidFill>
                    <w14:schemeClr w14:val="tx1"/>
                  </w14:solidFill>
                </w14:textFill>
              </w:rPr>
              <w:t>aculty of EE）是该领域全球五大研发和教学机构之一。电力牵引与控制是捷克技术大学教学和科研的强项学科。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25" w:name="_Toc3785"/>
      <w:r>
        <w:rPr>
          <w:rFonts w:hint="eastAsia" w:ascii="仿宋" w:hAnsi="仿宋" w:eastAsia="仿宋"/>
          <w:sz w:val="36"/>
          <w:szCs w:val="36"/>
        </w:rPr>
        <w:t>英国巴斯大学</w:t>
      </w:r>
      <w:bookmarkEnd w:id="25"/>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bookmarkStart w:id="26" w:name="_Hlk24745797"/>
            <w:r>
              <w:rPr>
                <w:rFonts w:hint="eastAsia" w:ascii="仿宋" w:hAnsi="仿宋" w:eastAsia="仿宋" w:cs="宋体"/>
                <w:color w:val="000000" w:themeColor="text1"/>
                <w:kern w:val="0"/>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选拔优秀本科生赴英国巴斯大学进行学习。学习结束后，学生可将相关学分转换回我校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spacing w:val="15"/>
                <w:kern w:val="0"/>
                <w14:textFill>
                  <w14:solidFill>
                    <w14:schemeClr w14:val="tx1"/>
                  </w14:solidFill>
                </w14:textFill>
              </w:rPr>
              <w:t>在巴斯大学在Faculty of Engineering &amp;Design</w:t>
            </w:r>
            <w:r>
              <w:rPr>
                <w:rStyle w:val="36"/>
                <w:rFonts w:ascii="Calibri" w:hAnsi="Calibri" w:eastAsia="仿宋" w:cs="Calibri"/>
                <w:color w:val="000000" w:themeColor="text1"/>
                <w:spacing w:val="15"/>
                <w:kern w:val="0"/>
                <w14:textFill>
                  <w14:solidFill>
                    <w14:schemeClr w14:val="tx1"/>
                  </w14:solidFill>
                </w14:textFill>
              </w:rPr>
              <w:t> </w:t>
            </w:r>
            <w:r>
              <w:rPr>
                <w:rFonts w:hint="eastAsia" w:ascii="仿宋" w:hAnsi="仿宋" w:eastAsia="仿宋" w:cs="宋体"/>
                <w:color w:val="000000" w:themeColor="text1"/>
                <w:spacing w:val="15"/>
                <w:kern w:val="0"/>
                <w14:textFill>
                  <w14:solidFill>
                    <w14:schemeClr w14:val="tx1"/>
                  </w14:solidFill>
                </w14:textFill>
              </w:rPr>
              <w:t>进行交换学习，有相关专业课程的同学即可申请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spacing w:val="15"/>
                <w:kern w:val="0"/>
                <w14:textFill>
                  <w14:solidFill>
                    <w14:schemeClr w14:val="tx1"/>
                  </w14:solidFill>
                </w14:textFill>
              </w:rPr>
              <w:t>学费为巴斯大学官方学费的70%</w:t>
            </w:r>
          </w:p>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详细请查询巴斯大学官网</w:t>
            </w:r>
            <w:r>
              <w:fldChar w:fldCharType="begin"/>
            </w:r>
            <w:r>
              <w:instrText xml:space="preserve"> HYPERLINK "https://www.bath.ac.uk/" </w:instrText>
            </w:r>
            <w:r>
              <w:fldChar w:fldCharType="separate"/>
            </w:r>
            <w:r>
              <w:rPr>
                <w:rStyle w:val="35"/>
                <w:rFonts w:hint="eastAsia" w:ascii="仿宋" w:hAnsi="仿宋" w:eastAsia="仿宋" w:cs="宋体"/>
                <w:color w:val="000000" w:themeColor="text1"/>
                <w:kern w:val="0"/>
                <w14:textFill>
                  <w14:solidFill>
                    <w14:schemeClr w14:val="tx1"/>
                  </w14:solidFill>
                </w14:textFill>
              </w:rPr>
              <w:t>https://www.bath.ac.uk/</w:t>
            </w:r>
            <w:r>
              <w:rPr>
                <w:rStyle w:val="35"/>
                <w:rFonts w:hint="eastAsia" w:ascii="仿宋" w:hAnsi="仿宋" w:eastAsia="仿宋" w:cs="宋体"/>
                <w:color w:val="000000" w:themeColor="text1"/>
                <w:kern w:val="0"/>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资助</w:t>
            </w:r>
          </w:p>
        </w:tc>
        <w:tc>
          <w:tcPr>
            <w:tcW w:w="6515" w:type="dxa"/>
          </w:tcPr>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1．学费为巴斯大学官方学费的70%。</w:t>
            </w:r>
          </w:p>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8"/>
                <w:kern w:val="0"/>
                <w:sz w:val="24"/>
                <w14:textFill>
                  <w14:solidFill>
                    <w14:schemeClr w14:val="tx1"/>
                  </w14:solidFill>
                </w14:textFill>
              </w:rPr>
              <w:t>根据《华北电力大学优秀本科生赴境外交流学习资助管理办法（试行）》，符合条件的同学可获得一学期5000元，一学年10000元的校内资助。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申请条件</w:t>
            </w:r>
          </w:p>
        </w:tc>
        <w:tc>
          <w:tcPr>
            <w:tcW w:w="6515" w:type="dxa"/>
          </w:tcPr>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15"/>
                <w:kern w:val="0"/>
                <w:sz w:val="24"/>
                <w14:textFill>
                  <w14:solidFill>
                    <w14:schemeClr w14:val="tx1"/>
                  </w14:solidFill>
                </w14:textFill>
              </w:rPr>
              <w:t>成绩要求：平均分不低于80分</w:t>
            </w:r>
          </w:p>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15"/>
                <w:kern w:val="0"/>
                <w:sz w:val="24"/>
                <w14:textFill>
                  <w14:solidFill>
                    <w14:schemeClr w14:val="tx1"/>
                  </w14:solidFill>
                </w14:textFill>
              </w:rPr>
              <w:t>外语要求：雅思成绩不低于6.5且写作小分不低于6分，其余各项小分不低于5.5分。若平均分不低于85分，则雅思成绩在6分及以上即可。或托福的机考成绩不低于92分。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校内申请材料</w:t>
            </w:r>
          </w:p>
        </w:tc>
        <w:tc>
          <w:tcPr>
            <w:tcW w:w="6515" w:type="dxa"/>
          </w:tcPr>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1.个人相关中文成绩单</w:t>
            </w:r>
          </w:p>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2.个人相关外语成绩证明</w:t>
            </w:r>
          </w:p>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3.个人护照的复印件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交流院系介绍</w:t>
            </w:r>
          </w:p>
        </w:tc>
        <w:tc>
          <w:tcPr>
            <w:tcW w:w="6515" w:type="dxa"/>
          </w:tcPr>
          <w:p>
            <w:pPr>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巴斯大学建校于1966年，是一所年轻但发展迅速的综合型大学，全英排名前10，今年恰逢其50周年校庆。学校共有15000多名在读生，其中25%为来自超过100多个国家的留学生。巴斯大学一直以其学生满意度闻名，在2015年国家学生调查和泰晤士高等教育学生体验调查中均位列全英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报名咨询方式</w:t>
            </w:r>
          </w:p>
        </w:tc>
        <w:tc>
          <w:tcPr>
            <w:tcW w:w="6515" w:type="dxa"/>
          </w:tcPr>
          <w:p>
            <w:pPr>
              <w:pStyle w:val="27"/>
              <w:widowControl/>
              <w:shd w:val="clear" w:color="auto" w:fill="FFFFFF"/>
              <w:ind w:firstLine="420"/>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北京校部</w:t>
            </w:r>
          </w:p>
          <w:p>
            <w:pPr>
              <w:pStyle w:val="27"/>
              <w:widowControl/>
              <w:shd w:val="clear" w:color="auto" w:fill="FFFFFF"/>
              <w:ind w:firstLine="420"/>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联系人：李芊芊</w:t>
            </w:r>
          </w:p>
          <w:p>
            <w:pPr>
              <w:pStyle w:val="27"/>
              <w:widowControl/>
              <w:shd w:val="clear" w:color="auto" w:fill="FFFFFF"/>
              <w:ind w:firstLine="420"/>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电话：010-61772049</w:t>
            </w:r>
          </w:p>
          <w:p>
            <w:pPr>
              <w:pStyle w:val="27"/>
              <w:widowControl/>
              <w:shd w:val="clear" w:color="auto" w:fill="FFFFFF"/>
              <w:ind w:firstLine="420"/>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地点：主D837</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联系人：张大超</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电话：0312-</w:t>
            </w:r>
            <w:r>
              <w:rPr>
                <w:rFonts w:ascii="仿宋" w:hAnsi="仿宋" w:eastAsia="仿宋" w:cs="宋体"/>
                <w:color w:val="000000" w:themeColor="text1"/>
                <w:shd w:val="clear" w:color="auto" w:fill="FFFFFF"/>
                <w14:textFill>
                  <w14:solidFill>
                    <w14:schemeClr w14:val="tx1"/>
                  </w14:solidFill>
                </w14:textFill>
              </w:rPr>
              <w:t>7522207</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地址：一校区</w:t>
            </w:r>
            <w:r>
              <w:rPr>
                <w:rFonts w:ascii="仿宋" w:hAnsi="仿宋" w:eastAsia="仿宋" w:cs="宋体"/>
                <w:color w:val="000000" w:themeColor="text1"/>
                <w:shd w:val="clear" w:color="auto" w:fill="FFFFFF"/>
                <w14:textFill>
                  <w14:solidFill>
                    <w14:schemeClr w14:val="tx1"/>
                  </w14:solidFill>
                </w14:textFill>
              </w:rPr>
              <w:t>综合楼709</w:t>
            </w:r>
          </w:p>
        </w:tc>
      </w:tr>
      <w:bookmarkEnd w:id="26"/>
    </w:tbl>
    <w:p>
      <w:pPr>
        <w:jc w:val="center"/>
        <w:rPr>
          <w:rFonts w:ascii="仿宋" w:hAnsi="仿宋" w:eastAsia="仿宋" w:cs="宋体"/>
          <w:b/>
          <w:bCs/>
          <w:color w:val="000000" w:themeColor="text1"/>
          <w:sz w:val="24"/>
          <w14:textFill>
            <w14:solidFill>
              <w14:schemeClr w14:val="tx1"/>
            </w14:solidFill>
          </w14:textFill>
        </w:rPr>
      </w:pPr>
    </w:p>
    <w:p>
      <w:pPr>
        <w:pStyle w:val="4"/>
        <w:jc w:val="center"/>
        <w:rPr>
          <w:rFonts w:ascii="仿宋" w:hAnsi="仿宋" w:eastAsia="仿宋"/>
          <w:sz w:val="36"/>
          <w:szCs w:val="36"/>
        </w:rPr>
      </w:pPr>
      <w:bookmarkStart w:id="27" w:name="_Toc8953"/>
      <w:bookmarkStart w:id="28" w:name="OLE_LINK16"/>
      <w:r>
        <w:rPr>
          <w:rFonts w:hint="eastAsia" w:ascii="仿宋" w:hAnsi="仿宋" w:eastAsia="仿宋"/>
          <w:sz w:val="36"/>
          <w:szCs w:val="36"/>
        </w:rPr>
        <w:t>美国威斯康星大学密尔沃基分校（毕业设计项目）</w:t>
      </w:r>
      <w:bookmarkEnd w:id="27"/>
      <w:bookmarkEnd w:id="2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（1）1月底 -5月底在美国威斯康星大学密尔沃基分校完成毕业设计，同时可在该校选择一门课程进行学习。</w:t>
            </w:r>
          </w:p>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（2）5月底在美国威斯康星大学密尔沃基分校进行毕业论文答辩，答辩通过后将获得该校的论文成绩及学分，可转换为我校毕业论文的成绩与学分。所有参加项目的同学须回华电进行毕业论文答辩。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电气与电子工程学院、能源动力与机械工程学院、控制与计算机工程学院、可再生能源学院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申请时为大四全日制在读本科生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1学期（大四下）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学费约7000美金/学期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（3）现就读年级为大四。（这里网站和表格不太一致，表格是现就读年级为大三，网站上是大四学生）</w:t>
            </w:r>
            <w:r>
              <w:fldChar w:fldCharType="begin"/>
            </w:r>
            <w:r>
              <w:instrText xml:space="preserve"> HYPERLINK "https://icd.ncepu.edu.cn/tzgg/a59d6cfc2d5e4340b88c1b900571c292.htm" </w:instrText>
            </w:r>
            <w:r>
              <w:fldChar w:fldCharType="separate"/>
            </w:r>
            <w:r>
              <w:rPr>
                <w:rStyle w:val="35"/>
                <w:rFonts w:hint="eastAsia" w:ascii="仿宋" w:hAnsi="仿宋" w:eastAsia="仿宋" w:cs="宋体"/>
                <w:color w:val="000000" w:themeColor="text1"/>
                <w14:textFill>
                  <w14:solidFill>
                    <w14:schemeClr w14:val="tx1"/>
                  </w14:solidFill>
                </w14:textFill>
              </w:rPr>
              <w:t>https://icd.ncepu.edu.cn/tzgg/a59d6cfc2d5e4340b88c1b900571c292.htm</w:t>
            </w:r>
            <w:r>
              <w:rPr>
                <w:rStyle w:val="35"/>
                <w:rFonts w:hint="eastAsia" w:ascii="仿宋" w:hAnsi="仿宋" w:eastAsia="仿宋" w:cs="宋体"/>
                <w:color w:val="000000" w:themeColor="text1"/>
                <w14:textFill>
                  <w14:solidFill>
                    <w14:schemeClr w14:val="tx1"/>
                  </w14:solidFill>
                </w14:textFill>
              </w:rPr>
              <w:fldChar w:fldCharType="end"/>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（4）提供雅思或托福成绩或通过对方的语言面试。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 一封中文院系推荐信（内容包括综合测评排名、专业总人数、平时表现、社会活动等/需院系老师签字）；</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 一封中文成绩单(需教务处或院系盖章)；</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（3）外语成绩单（雅思或托福，若无请标注须通过外方面试）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交流院系介绍</w:t>
            </w:r>
          </w:p>
        </w:tc>
        <w:tc>
          <w:tcPr>
            <w:tcW w:w="6515" w:type="dxa"/>
            <w:vAlign w:val="center"/>
          </w:tcPr>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美国威斯康星大学密尔沃基分校(University of Wisconsin-Milwaukee, UWM, UW-Milwaukee) 是美国威斯康星大学体系中两所可授予博士学位的综合研究型大学之一、美国八十所具有研究生院的研究型大学之一。</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威斯康星大学密尔沃基分校在美国公立大学在国家研究理事会(NRC)排名中排名72，是美国大学先锋排行榜的100所大学之一，在普林斯顿评论中被评为最好中西部大学之一，在美国大学表现评估中心大学排名中排189位， 在华盛顿月刊排行榜中列247位。在2011法国国立巴黎高等矿业学校(EMP)基于《财富》杂志发布的各校毕业生在世界500强企业中担任首席执行官或与之相当职位的人数指标进行的世界大学排名中，该校名列第98位。</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该校的工程和应用科学学院在美国新闻与世界报道排名129，其中计算机专业排名110。该学院在美国公立大学在国家研究理事会(NRC)排名中排名73，其中工业工程学排第34， 材料科学排第60，土木工程排第69，机械工程排第87，电子工程排第96。 管理信息系统被通信信息系统协会评为全美第19，全世界第24。组织和战略管理被德克萨斯A&amp;M大学和佛罗里达大学的联合研究排名为全世界第32。2006-2008，卢巴商学院的被评为世界前100名。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pStyle w:val="27"/>
              <w:widowControl/>
              <w:shd w:val="clear" w:color="auto" w:fill="FFFFFF"/>
              <w:ind w:firstLine="420"/>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北京校部</w:t>
            </w:r>
          </w:p>
          <w:p>
            <w:pPr>
              <w:pStyle w:val="27"/>
              <w:widowControl/>
              <w:shd w:val="clear" w:color="auto" w:fill="FFFFFF"/>
              <w:ind w:firstLine="420"/>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联系人：李芊芊</w:t>
            </w:r>
          </w:p>
          <w:p>
            <w:pPr>
              <w:pStyle w:val="27"/>
              <w:widowControl/>
              <w:shd w:val="clear" w:color="auto" w:fill="FFFFFF"/>
              <w:ind w:firstLine="420"/>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电话：010-61772049</w:t>
            </w:r>
          </w:p>
          <w:p>
            <w:pPr>
              <w:pStyle w:val="27"/>
              <w:widowControl/>
              <w:shd w:val="clear" w:color="auto" w:fill="FFFFFF"/>
              <w:ind w:firstLine="420"/>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地点：主D837</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联系人：张大超</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电话：0312-</w:t>
            </w:r>
            <w:r>
              <w:rPr>
                <w:rFonts w:ascii="仿宋" w:hAnsi="仿宋" w:eastAsia="仿宋" w:cs="宋体"/>
                <w:color w:val="000000" w:themeColor="text1"/>
                <w:shd w:val="clear" w:color="auto" w:fill="FFFFFF"/>
                <w14:textFill>
                  <w14:solidFill>
                    <w14:schemeClr w14:val="tx1"/>
                  </w14:solidFill>
                </w14:textFill>
              </w:rPr>
              <w:t>7522207</w:t>
            </w:r>
          </w:p>
          <w:p>
            <w:pPr>
              <w:pStyle w:val="27"/>
              <w:widowControl/>
              <w:shd w:val="clear" w:color="auto" w:fill="FFFFFF"/>
              <w:ind w:firstLine="42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地址：一校区</w:t>
            </w:r>
            <w:r>
              <w:rPr>
                <w:rFonts w:ascii="仿宋" w:hAnsi="仿宋" w:eastAsia="仿宋" w:cs="宋体"/>
                <w:color w:val="000000" w:themeColor="text1"/>
                <w:shd w:val="clear" w:color="auto" w:fill="FFFFFF"/>
                <w14:textFill>
                  <w14:solidFill>
                    <w14:schemeClr w14:val="tx1"/>
                  </w14:solidFill>
                </w14:textFill>
              </w:rPr>
              <w:t>综合楼709</w:t>
            </w:r>
          </w:p>
        </w:tc>
      </w:tr>
    </w:tbl>
    <w:p>
      <w:pPr>
        <w:jc w:val="center"/>
        <w:rPr>
          <w:rFonts w:ascii="仿宋" w:hAnsi="仿宋" w:eastAsia="仿宋" w:cs="宋体"/>
          <w:b/>
          <w:bCs/>
          <w:color w:val="000000" w:themeColor="text1"/>
          <w:sz w:val="24"/>
          <w14:textFill>
            <w14:solidFill>
              <w14:schemeClr w14:val="tx1"/>
            </w14:solidFill>
          </w14:textFill>
        </w:rPr>
      </w:pPr>
    </w:p>
    <w:p>
      <w:pPr>
        <w:pStyle w:val="4"/>
        <w:jc w:val="center"/>
        <w:rPr>
          <w:rFonts w:ascii="仿宋" w:hAnsi="仿宋" w:eastAsia="仿宋"/>
          <w:sz w:val="36"/>
          <w:szCs w:val="36"/>
        </w:rPr>
      </w:pPr>
      <w:bookmarkStart w:id="29" w:name="_Toc18759"/>
      <w:r>
        <w:rPr>
          <w:rFonts w:hint="eastAsia" w:ascii="仿宋" w:hAnsi="仿宋" w:eastAsia="仿宋"/>
          <w:sz w:val="36"/>
          <w:szCs w:val="36"/>
        </w:rPr>
        <w:t>美国伊利诺伊斯理工大学</w:t>
      </w:r>
      <w:bookmarkEnd w:id="29"/>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1991"/>
        <w:gridCol w:w="6504"/>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项目内容</w:t>
            </w:r>
          </w:p>
        </w:tc>
        <w:tc>
          <w:tcPr>
            <w:tcW w:w="6504" w:type="dxa"/>
            <w:shd w:val="clear" w:color="auto" w:fill="auto"/>
            <w:vAlign w:val="center"/>
          </w:tcPr>
          <w:p>
            <w:pPr>
              <w:rPr>
                <w:rFonts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选拔优秀本科生赴美国伊利诺伊理工大学进行学习。学习为期一年，在伊利诺伊理工大学学习期间，学生须修一门英语课程，7门（或以上）专业课程。</w:t>
            </w:r>
            <w:r>
              <w:rPr>
                <w:rFonts w:ascii="Calibri" w:hAnsi="Calibri" w:eastAsia="仿宋" w:cs="Calibri"/>
                <w:color w:val="000000" w:themeColor="text1"/>
                <w:sz w:val="24"/>
                <w14:textFill>
                  <w14:solidFill>
                    <w14:schemeClr w14:val="tx1"/>
                  </w14:solidFill>
                </w14:textFill>
              </w:rPr>
              <w:t> </w:t>
            </w:r>
            <w:r>
              <w:rPr>
                <w:rFonts w:hint="eastAsia" w:ascii="仿宋" w:hAnsi="仿宋" w:eastAsia="仿宋" w:cs="宋体"/>
                <w:color w:val="000000" w:themeColor="text1"/>
                <w:sz w:val="24"/>
                <w14:textFill>
                  <w14:solidFill>
                    <w14:schemeClr w14:val="tx1"/>
                  </w14:solidFill>
                </w14:textFill>
              </w:rPr>
              <w:t>项目结束之后，华北电力大学承认在美国学习期间学分，学生获得华北电力大学毕业证、学位证。</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选派专业</w:t>
            </w:r>
          </w:p>
        </w:tc>
        <w:tc>
          <w:tcPr>
            <w:tcW w:w="6504" w:type="dxa"/>
            <w:shd w:val="clear" w:color="auto" w:fill="auto"/>
            <w:vAlign w:val="center"/>
          </w:tcPr>
          <w:p>
            <w:pPr>
              <w:pStyle w:val="27"/>
              <w:widowControl/>
              <w:jc w:val="left"/>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电气工程、土木工程、计算机及软件工程、电子信息工程、环境工程、机械制造、自动化、金融、会计、国际贸易</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选派类别</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选派人数</w:t>
            </w:r>
          </w:p>
        </w:tc>
        <w:tc>
          <w:tcPr>
            <w:tcW w:w="6504" w:type="dxa"/>
            <w:shd w:val="clear" w:color="auto" w:fill="auto"/>
            <w:vAlign w:val="center"/>
          </w:tcPr>
          <w:p>
            <w:pPr>
              <w:rPr>
                <w:rFonts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不限</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交流期限</w:t>
            </w:r>
          </w:p>
        </w:tc>
        <w:tc>
          <w:tcPr>
            <w:tcW w:w="6504" w:type="dxa"/>
            <w:shd w:val="clear" w:color="auto" w:fill="auto"/>
            <w:vAlign w:val="center"/>
          </w:tcPr>
          <w:p>
            <w:pPr>
              <w:widowControl/>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1学期或1学年</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所需费用</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学费约47000美金/学年，23500美金/学期（具体学费每年会有所变动，依据IIT官网标准）</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资助</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伊利诺伊斯理工大学为我校交换生提供10000美金/学年-25000美金/学年奖学金，奖学金数额取决于面试成绩。</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优秀学生可申请华北电力大学本科生交流交换奖学金。</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申请条件</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外语要求：托福80分或者雅思6.0 （若无相关语言成绩则需现场笔试面试）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平均分须达到80分及以上，无专业限制，有相关专业课程即可申请</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校内申请材料材料</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1.个人在校中文及英文成绩单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2.个人相关外语成绩证明</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3.个人护照的复印件</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4.个人交换后的学习计划</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申请材料纸质版交至主楼D835，电子版发送至lqq@ncepu.edu.cn</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交流院校介绍</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美国伊利诺伊斯理工大学（Illinois Institute of Technology），简称IIT, 坐落于美国芝加哥市区，是一所世界知名的顶级综合私立性大学，在诸多研究和学术领域具有享誉世界级的声望。作为与芝加哥大学，西北大学并列的芝加哥高等学府的三大巨头之一，IIT致力于将来自全世界各地的精英培养成为适应科技高速发展的综合型领导人才，通过提供一流的教学质量和教学环境来引领知识的进步。伊利诺伊斯理工大学在2019年US News美国大学综合排名中位居96名，属国家一级大学（National Tier 1）。IIT的校友及教学团队中曾先后涌现出4位诺贝尔奖获得者。</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报名咨询方式</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rPr>
          <w:rFonts w:ascii="仿宋" w:hAnsi="仿宋" w:eastAsia="仿宋" w:cs="宋体"/>
          <w:color w:val="000000" w:themeColor="text1"/>
          <w:sz w:val="24"/>
          <w:lang w:bidi="zh-CN"/>
          <w14:textFill>
            <w14:solidFill>
              <w14:schemeClr w14:val="tx1"/>
            </w14:solidFill>
          </w14:textFill>
        </w:rPr>
      </w:pPr>
    </w:p>
    <w:p>
      <w:pPr>
        <w:pStyle w:val="4"/>
        <w:jc w:val="center"/>
        <w:rPr>
          <w:rFonts w:ascii="仿宋" w:hAnsi="仿宋" w:eastAsia="仿宋"/>
          <w:sz w:val="36"/>
          <w:szCs w:val="36"/>
        </w:rPr>
      </w:pPr>
      <w:bookmarkStart w:id="30" w:name="_Toc4979"/>
      <w:r>
        <w:rPr>
          <w:rFonts w:hint="eastAsia" w:ascii="仿宋" w:hAnsi="仿宋" w:eastAsia="仿宋"/>
          <w:sz w:val="36"/>
          <w:szCs w:val="36"/>
        </w:rPr>
        <w:t>美国密歇根大学德尔本校区</w:t>
      </w:r>
      <w:bookmarkEnd w:id="3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美国密歇根大学德尔本校区3+1+1项目，及本科交流交换项目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选拔优秀本科生赴美国密歇根州立大学德尔本校区进行学习。学习为期一学期，学年结束时，可获得华北电力大学毕业证及学士学位。成绩优秀的同学可以继续攻读硕士。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学生须选择在华北电力大学所学或相近专业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学费按密歇根州收费标准收取。约为10000美元</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请咨询密歇根州立大学迪尔本校区官网</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https://umdearborn.edu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（4）较强的英语沟通能力（雅思不低于6，托福不低于79，六级不低于480分）。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University of Michigan-Dearborn(UMD)位于美国及世界的汽车工业中心，其校区座落在美国汽车工业的发祥地－福特庄园之内，与福特汽车公司总部及其研究中心相毗邻。该校工程与计算机学院十分注重应用研究和教学，尤其注重在汽车工程领域的研究和教学，与美国三大汽车公司及众多的零部件厂保持长期紧密的合作关系。学生在汽车公司实习便利，校友遍布美国汽车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北京校部</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联系人：李芊芊</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电话：010-61772049</w:t>
            </w:r>
          </w:p>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地点：主D837</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联系人：张大超</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电话：0312-</w:t>
            </w:r>
            <w:r>
              <w:rPr>
                <w:rFonts w:ascii="仿宋" w:hAnsi="仿宋" w:eastAsia="仿宋" w:cs="宋体"/>
                <w:color w:val="000000" w:themeColor="text1"/>
                <w:shd w:val="clear" w:color="auto" w:fill="FFFFFF"/>
                <w14:textFill>
                  <w14:solidFill>
                    <w14:schemeClr w14:val="tx1"/>
                  </w14:solidFill>
                </w14:textFill>
              </w:rPr>
              <w:t>7522207</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地址：一校区</w:t>
            </w:r>
            <w:r>
              <w:rPr>
                <w:rFonts w:ascii="仿宋" w:hAnsi="仿宋" w:eastAsia="仿宋" w:cs="宋体"/>
                <w:color w:val="000000" w:themeColor="text1"/>
                <w:shd w:val="clear" w:color="auto" w:fill="FFFFFF"/>
                <w14:textFill>
                  <w14:solidFill>
                    <w14:schemeClr w14:val="tx1"/>
                  </w14:solidFill>
                </w14:textFill>
              </w:rPr>
              <w:t>综合楼709</w:t>
            </w:r>
          </w:p>
        </w:tc>
      </w:tr>
    </w:tbl>
    <w:p>
      <w:pPr>
        <w:pStyle w:val="27"/>
        <w:widowControl/>
        <w:shd w:val="clear" w:color="auto" w:fill="FFFFFF"/>
        <w:jc w:val="left"/>
        <w:rPr>
          <w:rFonts w:ascii="仿宋" w:hAnsi="仿宋" w:eastAsia="仿宋" w:cs="宋体"/>
          <w:color w:val="000000" w:themeColor="text1"/>
          <w14:textFill>
            <w14:solidFill>
              <w14:schemeClr w14:val="tx1"/>
            </w14:solidFill>
          </w14:textFill>
        </w:rPr>
      </w:pPr>
    </w:p>
    <w:p>
      <w:pPr>
        <w:pStyle w:val="4"/>
        <w:jc w:val="center"/>
        <w:rPr>
          <w:rFonts w:ascii="仿宋" w:hAnsi="仿宋" w:eastAsia="仿宋"/>
          <w:sz w:val="36"/>
          <w:szCs w:val="36"/>
        </w:rPr>
      </w:pPr>
      <w:bookmarkStart w:id="31" w:name="_Toc3224"/>
      <w:r>
        <w:rPr>
          <w:rFonts w:hint="eastAsia" w:ascii="仿宋" w:hAnsi="仿宋" w:eastAsia="仿宋"/>
          <w:sz w:val="36"/>
          <w:szCs w:val="36"/>
        </w:rPr>
        <w:t>美国普渡大学西北校区</w:t>
      </w:r>
      <w:bookmarkEnd w:id="31"/>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04"/>
        <w:gridCol w:w="6491"/>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我校自2009年起，同美国普渡大学西北校区开展本科交流生（ETIE）项目，符合条件的本科生可赴普渡大学进行为期一学期、或一年的交流学习。学习结束后满足一定条件的学生，可继续在普渡大学进行研究生阶段的学习（免GRE成绩）</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电子，电器，电讯，计算机，软件，机电， 机械，热工，热能，流体，材料，及土木工程。</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由普渡大学审理决定</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交流期限</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r>
              <w:rPr>
                <w:rFonts w:ascii="仿宋" w:hAnsi="仿宋" w:eastAsia="仿宋" w:cs="宋体"/>
                <w:color w:val="000000" w:themeColor="text1"/>
                <w:sz w:val="24"/>
                <w14:textFill>
                  <w14:solidFill>
                    <w14:schemeClr w14:val="tx1"/>
                  </w14:solidFill>
                </w14:textFill>
              </w:rPr>
              <w:t>成绩优异同学可继续在申请研究生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16"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91" w:type="dxa"/>
            <w:vAlign w:val="center"/>
          </w:tcPr>
          <w:p>
            <w:pPr>
              <w:shd w:val="clear" w:color="auto" w:fill="FFFFFF"/>
              <w:rPr>
                <w:rFonts w:ascii="仿宋" w:hAnsi="仿宋" w:eastAsia="仿宋" w:cs="宋体"/>
                <w:color w:val="000000" w:themeColor="text1"/>
                <w:spacing w:val="8"/>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1.参加访学计划的学生必须是在校全日制三年级本科生，且学习成绩优良，GPA 2.5以上。GPA 2.5以上。英语四级高于500分，或通过英语六级，或托福高于70分，或雅思高于6分。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2.符合上述条件学生的基本资料（成绩单及相关材料）将被送达普渡大学，由普渡大学最终确定访学学生名单。</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学生在美学习期间的学习及生活费用全部由学生本人承担。在美学习期间两学期所需费用约为20000-30000美元，主要包括：</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学费：12-18学分大约8000美元/学期 （每学期最低要求为 12学分）；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住宿费、餐费、日常消费等 8000-12000美元。</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上述费用不包括往返机票、申领护照及办理签证等费用。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网址：www.pnw.edu/etie</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报名材料</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成绩单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语言成绩证明</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 院系推荐信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32" w:name="_Toc11610"/>
      <w:r>
        <w:rPr>
          <w:rFonts w:hint="eastAsia" w:ascii="仿宋" w:hAnsi="仿宋" w:eastAsia="仿宋"/>
          <w:sz w:val="36"/>
          <w:szCs w:val="36"/>
        </w:rPr>
        <w:t>美国北科罗拉多大学</w:t>
      </w:r>
      <w:bookmarkEnd w:id="32"/>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15"/>
        <w:gridCol w:w="6480"/>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选拔优秀本科生赴美国本科罗拉多大学进行学习。学习结束后，学生可将相关学分转换回我校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不限（须国外院校有符合的相关课程）</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10</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学习期限</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约$17,500/学期（含12个学分学费及杂费，医疗保险，校内住宿和伙食费）</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80" w:type="dxa"/>
            <w:vAlign w:val="center"/>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（3）品学兼优，学习成绩排名前列，综合表现突出，</w:t>
            </w:r>
            <w:r>
              <w:rPr>
                <w:rFonts w:hint="eastAsia" w:ascii="仿宋" w:hAnsi="仿宋" w:eastAsia="仿宋" w:cs="宋体"/>
                <w:color w:val="000000" w:themeColor="text1"/>
                <w:sz w:val="24"/>
                <w14:textFill>
                  <w14:solidFill>
                    <w14:schemeClr w14:val="tx1"/>
                  </w14:solidFill>
                </w14:textFill>
              </w:rPr>
              <w:t>平均分75分以上</w:t>
            </w:r>
            <w:r>
              <w:rPr>
                <w:rFonts w:hint="eastAsia" w:ascii="仿宋" w:hAnsi="仿宋" w:eastAsia="仿宋" w:cs="宋体"/>
                <w:color w:val="000000" w:themeColor="text1"/>
                <w:sz w:val="24"/>
                <w:shd w:val="clear" w:color="auto" w:fill="FFFFFF"/>
                <w14:textFill>
                  <w14:solidFill>
                    <w14:schemeClr w14:val="tx1"/>
                  </w14:solidFill>
                </w14:textFill>
              </w:rPr>
              <w:t>，GPA不低于2.5；</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（4）较强的英语沟通能力（商务和会计专业学生需提供语言成绩：雅思不低于6，托福不低于70</w:t>
            </w:r>
            <w:r>
              <w:rPr>
                <w:rFonts w:hint="eastAsia" w:ascii="仿宋" w:hAnsi="仿宋" w:eastAsia="仿宋" w:cs="宋体"/>
                <w:color w:val="000000" w:themeColor="text1"/>
                <w:sz w:val="24"/>
                <w14:textFill>
                  <w14:solidFill>
                    <w14:schemeClr w14:val="tx1"/>
                  </w14:solidFill>
                </w14:textFill>
              </w:rPr>
              <w:t>或PTE不低于53分（若没有满足语言求，需参加学校英语测试并修读强化英语课）</w:t>
            </w:r>
            <w:r>
              <w:rPr>
                <w:rFonts w:hint="eastAsia" w:ascii="仿宋" w:hAnsi="仿宋" w:eastAsia="仿宋" w:cs="宋体"/>
                <w:color w:val="000000" w:themeColor="text1"/>
                <w:sz w:val="24"/>
                <w:shd w:val="clear" w:color="auto" w:fill="FFFFFF"/>
                <w14:textFill>
                  <w14:solidFill>
                    <w14:schemeClr w14:val="tx1"/>
                  </w14:solidFill>
                </w14:textFill>
              </w:rPr>
              <w:t>。</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校内申请材料</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交流院校介绍</w:t>
            </w:r>
          </w:p>
        </w:tc>
        <w:tc>
          <w:tcPr>
            <w:tcW w:w="6480" w:type="dxa"/>
            <w:vAlign w:val="center"/>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美国北科罗拉多大学（university of northern colorado,以下简称unc）成立于1889年，位于科罗拉多州格里利市，是一所被卡内基高等教育基金会认可的公立教学研究型综合大学, 被美国新闻与世界报道所评全美最佳性价比公立大学之一，拥有教育与行为科学院、文学院、运动与自然科学院、商学院、艺术学院, 具有博士、硕士、学士学位授予权。该校现有在校生12084人。该校商学院达到了世界级商学院最高成就的认证标准；本科课程是唯一荣获由美国总统办公室所颁发的the malcolmbaldrige national quality award商学院课。教育与行为科学学院自1954年即获得美国教师培育认证协会的认证。运动管理研究所课程获得国际级著名商业杂志“国际运动商业”评比为世界前五名的研究课程。立思辰留学360专家为您介绍，管弦乐交响乐团自1999年以来已被downbeat杂志学生音乐奖第十次提名为最佳大学古典合奏乐团。第一实验爵士乐团于过去9年共获得7次downbeat杂志学生音乐奖。在线硕士教育课程被us news和world report评比为全美第八名。</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tc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tcBorders>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80" w:type="dxa"/>
            <w:tc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tcBorders>
            <w:vAlign w:val="center"/>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北京校部</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联系人：李芊芊</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电话：010-61772049</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地点：主D837</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联系人：张大超</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电话：0312-</w:t>
            </w:r>
            <w:r>
              <w:rPr>
                <w:rFonts w:ascii="仿宋" w:hAnsi="仿宋" w:eastAsia="仿宋" w:cs="宋体"/>
                <w:color w:val="000000" w:themeColor="text1"/>
                <w:shd w:val="clear" w:color="auto" w:fill="FFFFFF"/>
                <w14:textFill>
                  <w14:solidFill>
                    <w14:schemeClr w14:val="tx1"/>
                  </w14:solidFill>
                </w14:textFill>
              </w:rPr>
              <w:t>7522207</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地址：一校区</w:t>
            </w:r>
            <w:r>
              <w:rPr>
                <w:rFonts w:ascii="仿宋" w:hAnsi="仿宋" w:eastAsia="仿宋" w:cs="宋体"/>
                <w:color w:val="000000" w:themeColor="text1"/>
                <w:shd w:val="clear" w:color="auto" w:fill="FFFFFF"/>
                <w14:textFill>
                  <w14:solidFill>
                    <w14:schemeClr w14:val="tx1"/>
                  </w14:solidFill>
                </w14:textFill>
              </w:rPr>
              <w:t>综合楼709</w:t>
            </w:r>
          </w:p>
        </w:tc>
      </w:tr>
    </w:tbl>
    <w:p>
      <w:pPr>
        <w:rPr>
          <w:rFonts w:ascii="仿宋" w:hAnsi="仿宋" w:eastAsia="仿宋" w:cs="宋体"/>
          <w:color w:val="000000" w:themeColor="text1"/>
          <w:sz w:val="24"/>
          <w:lang w:val="zh-CN" w:bidi="zh-CN"/>
          <w14:textFill>
            <w14:solidFill>
              <w14:schemeClr w14:val="tx1"/>
            </w14:solidFill>
          </w14:textFill>
        </w:rPr>
      </w:pPr>
    </w:p>
    <w:p>
      <w:pPr>
        <w:pStyle w:val="4"/>
        <w:jc w:val="center"/>
        <w:rPr>
          <w:rFonts w:ascii="仿宋" w:hAnsi="仿宋" w:eastAsia="仿宋"/>
          <w:sz w:val="36"/>
          <w:szCs w:val="36"/>
        </w:rPr>
      </w:pPr>
      <w:bookmarkStart w:id="33" w:name="_Toc11510"/>
      <w:r>
        <w:rPr>
          <w:rFonts w:hint="eastAsia" w:ascii="仿宋" w:hAnsi="仿宋" w:eastAsia="仿宋"/>
          <w:sz w:val="36"/>
          <w:szCs w:val="36"/>
        </w:rPr>
        <w:t>美国纽黑文大学</w:t>
      </w:r>
      <w:bookmarkEnd w:id="33"/>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每学期选派10名优秀本科生进行交流学习。学习结束后，学生可将相关学分转换回我校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电气工程、环境工程、环境科学以及刑事司法等专业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一学期至一学年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学费约16020美元/学年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资助</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排名前50%的学生将获得奖学金金额为20%-30%的学费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vAlign w:val="center"/>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（3）平均成绩高于75分；</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（4）英语六级高于480分或托福高于70分或雅思高于6.0分。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vAlign w:val="center"/>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vAlign w:val="center"/>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纽黑文大学成立于1920年，目前有100多个大学部及研究所，课程涉及领域广泛。该校的研究所科系发展迅速，现有近2500名研究生，其中14%的研究生来自美国之外的国家。该校所有班级均为小班制，班级人数不超过25。纽黑文大学大约招收6400名学生，其中包括近1800名研究生和本科生4600余人，其中大部分学生居住在纽黑文大学的宿舍里。学生通过在纽黑文大学里艺术与科学学院、商学院、亨利李刑事司法学院和法医学、工程学院、Tagliatela学院的在校学习以及网络学习将获得由纽黑文大学提供的75个本科和研究生学位。纽黑文大学的学生通过激烈的竞争将有机会获得全球超过50个留学方案，体育生在美国大学体育总会举行的大学运动会中获胜者将参加级联赛。纽黑文大学校园位于纽约东北75公里，波士顿西南135公里。该校设有125个专业，30个硕士学位，有商管学院、科学学院、电机及应用科技学院、艺术学院，还有人文类、法律类及设计类等学术分类；授予人类营养学硕士、MBA、劳工关系硕士、工业工程硕士等，包含了各种不同的专业领域及工作和实习的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rPr>
          <w:rFonts w:ascii="仿宋" w:hAnsi="仿宋" w:eastAsia="仿宋" w:cs="宋体"/>
          <w:color w:val="000000" w:themeColor="text1"/>
          <w:sz w:val="24"/>
          <w14:textFill>
            <w14:solidFill>
              <w14:schemeClr w14:val="tx1"/>
            </w14:solidFill>
          </w14:textFill>
        </w:rPr>
      </w:pPr>
    </w:p>
    <w:p>
      <w:pPr>
        <w:pStyle w:val="4"/>
        <w:jc w:val="center"/>
        <w:rPr>
          <w:rFonts w:ascii="仿宋" w:hAnsi="仿宋" w:eastAsia="仿宋"/>
          <w:sz w:val="36"/>
          <w:szCs w:val="36"/>
        </w:rPr>
      </w:pPr>
      <w:bookmarkStart w:id="34" w:name="_Toc13607"/>
      <w:r>
        <w:rPr>
          <w:rFonts w:hint="eastAsia" w:ascii="仿宋" w:hAnsi="仿宋" w:eastAsia="仿宋"/>
          <w:sz w:val="36"/>
          <w:szCs w:val="36"/>
        </w:rPr>
        <w:t>澳大利亚昆士兰大学</w:t>
      </w:r>
      <w:bookmarkEnd w:id="3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年均学费约为＄30672（不同学院学费不同）</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请咨询昆士兰大学官网https://www.uq.edu.au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资助</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申请办法</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昆士兰大学是世界著名顶尖学府、著名高等科研学府之一。澳大利亚常春藤联盟“八大名校”之一，始建于1909年，是昆士兰州第一所综合型大学，也是澳大利亚最大、最有声望的大学之一，同时还是六所砂岩学府（Sandston Universities）之一，及UNIVERSITAS 21成员。2019年，昆士兰大学位居2020年QS世界大学排名第47位[2]，2020年USNews世界大学排名第42位[3]，2020年泰晤士高等教育世界大学排名第66位，2019年软科世界大学学术排名第54位。学校学部学院包括：商业，经济与法律学部工程，建筑与信息技术学部，健康与行为科学学部，人文与社会科学学部，医学部，理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35" w:name="_Toc16755"/>
      <w:r>
        <w:rPr>
          <w:rFonts w:hint="eastAsia" w:ascii="仿宋" w:hAnsi="仿宋" w:eastAsia="仿宋"/>
          <w:sz w:val="36"/>
          <w:szCs w:val="36"/>
        </w:rPr>
        <w:t>澳大利亚新南威尔士大学</w:t>
      </w:r>
      <w:bookmarkEnd w:id="35"/>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项目内容</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选派专业</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选派类别</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选派人数</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交流期限</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所需费用</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例：大致为45，000（澳元） 其中学费9527（澳元）Engineering(Honours)/Master of Engineering (Electrical Engineering)专业</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详情请查询新南威尔士大学官网</w:t>
            </w:r>
            <w:r>
              <w:fldChar w:fldCharType="begin"/>
            </w:r>
            <w:r>
              <w:instrText xml:space="preserve"> HYPERLINK "https://www.unsw.edu.au/" </w:instrText>
            </w:r>
            <w:r>
              <w:fldChar w:fldCharType="separate"/>
            </w:r>
            <w:r>
              <w:rPr>
                <w:rFonts w:hint="eastAsia" w:ascii="仿宋" w:hAnsi="仿宋" w:eastAsia="仿宋" w:cs="宋体"/>
                <w:color w:val="000000" w:themeColor="text1"/>
                <w:kern w:val="0"/>
                <w:sz w:val="24"/>
                <w14:textFill>
                  <w14:solidFill>
                    <w14:schemeClr w14:val="tx1"/>
                  </w14:solidFill>
                </w14:textFill>
              </w:rPr>
              <w:t>https://www.unsw.edu.au/</w:t>
            </w:r>
            <w:r>
              <w:rPr>
                <w:rFonts w:hint="eastAsia" w:ascii="仿宋" w:hAnsi="仿宋" w:eastAsia="仿宋" w:cs="宋体"/>
                <w:color w:val="000000" w:themeColor="text1"/>
                <w:kern w:val="0"/>
                <w:sz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申请条件</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华北电力大学在读本科生、硕士生，身体健康，品学兼优，具有较强的独立生活能力；；</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成绩要求：GPA3.0以上；</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语言要求：三年内的雅思成绩6.5分及以上</w:t>
            </w:r>
            <w:r>
              <w:rPr>
                <w:rFonts w:ascii="仿宋" w:hAnsi="仿宋" w:eastAsia="仿宋" w:cs="宋体"/>
                <w:color w:val="000000" w:themeColor="text1"/>
                <w:kern w:val="0"/>
                <w:sz w:val="24"/>
                <w14:textFill>
                  <w14:solidFill>
                    <w14:schemeClr w14:val="tx1"/>
                  </w14:solidFill>
                </w14:textFill>
              </w:rPr>
              <w:t xml:space="preserve"> </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费用标准：UNSW官方学费，免申请费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申请办法</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校内申请材料</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院系推荐信（本科生需辅导员签字及院系盖章，研究生需导师签字及院系盖章）；</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成绩单(中文/需教务处盖章)；</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雅思成绩单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交流院系介绍</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新南威尔士大学（The University of New South Wales），简称UNSW</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，创立于1949年，共有三大校区，主校区位于</w:t>
            </w:r>
            <w:r>
              <w:fldChar w:fldCharType="begin"/>
            </w:r>
            <w:r>
              <w:instrText xml:space="preserve"> HYPERLINK "https://baike.baidu.com/item/%E6%96%B0%E5%8D%97%E5%A8%81%E5%B0%94%E5%A3%AB%E5%B7%9E/4532276"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新南威尔士州</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首府</w:t>
            </w:r>
            <w:r>
              <w:fldChar w:fldCharType="begin"/>
            </w:r>
            <w:r>
              <w:instrText xml:space="preserve"> HYPERLINK "https://baike.baidu.com/item/%E6%82%89%E5%B0%BC/31769"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悉尼</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，是</w:t>
            </w:r>
            <w:r>
              <w:fldChar w:fldCharType="begin"/>
            </w:r>
            <w:r>
              <w:instrText xml:space="preserve"> HYPERLINK "https://baike.baidu.com/item/%E6%BE%B3%E5%A4%A7%E5%88%A9%E4%BA%9A/146759"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的一所世界顶尖级研究学府，</w:t>
            </w:r>
            <w:r>
              <w:fldChar w:fldCharType="begin"/>
            </w:r>
            <w:r>
              <w:instrText xml:space="preserve"> HYPERLINK "https://baike.baidu.com/item/%E6%BE%B3%E5%A4%A7%E5%88%A9%E4%BA%9A%E5%85%AB%E6%A0%A1%E8%81%94%E7%9B%9F/5575684"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澳大利亚八校联盟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"https://baike.baidu.com/item/%E7%8E%AF%E5%A4%AA%E5%B9%B3%E6%B4%8B%E5%A4%A7%E5%AD%A6%E8%81%94%E7%9B%9F"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环太平洋大学联盟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"https://baike.baidu.com/item/%E5%9B%BD%E9%99%85%E7%A7%91%E6%8A%80%E5%A4%A7%E5%AD%A6%E8%81%94%E7%9B%9F/22393412"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国际科技大学联盟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和</w:t>
            </w:r>
            <w:r>
              <w:fldChar w:fldCharType="begin"/>
            </w:r>
            <w:r>
              <w:instrText xml:space="preserve"> HYPERLINK "https://baike.baidu.com/item/Universitas%2021"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Universitas 21</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成员，是整个南半球首屈一指的学术殿堂和全球著名的高等学府。2016年，在中澳两国总理见证下，中国</w:t>
            </w:r>
            <w:r>
              <w:fldChar w:fldCharType="begin"/>
            </w:r>
            <w:r>
              <w:instrText xml:space="preserve"> HYPERLINK "https://baike.baidu.com/item/%E7%A7%91%E6%8A%80%E9%83%A8/9782755"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科技部</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与新南威尔士大学达成合作协议，两国将于2020年在校园内共建火炬创新园，推进两国在</w:t>
            </w:r>
            <w:r>
              <w:fldChar w:fldCharType="begin"/>
            </w:r>
            <w:r>
              <w:instrText xml:space="preserve"> HYPERLINK "https://baike.baidu.com/item/%E8%83%BD%E6%BA%90%E6%8A%80%E6%9C%AF/5908322"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能源技术</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"https://baike.baidu.com/item/%E5%85%88%E8%BF%9B%E6%9D%90%E6%96%99/7030381"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先进材料</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等高科技领域合作。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vAlign w:val="center"/>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36" w:name="_Toc16421"/>
      <w:r>
        <w:rPr>
          <w:rFonts w:hint="eastAsia" w:ascii="仿宋" w:hAnsi="仿宋" w:eastAsia="仿宋"/>
          <w:sz w:val="36"/>
          <w:szCs w:val="36"/>
        </w:rPr>
        <w:t>澳大利亚纽卡斯尔大学</w:t>
      </w:r>
      <w:bookmarkEnd w:id="3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学费大致为$440一周（2019）/$455一周（2020）</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请咨询纽卡斯尔大学官网https://www.newcastle.edu.au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14:textFill>
                  <w14:solidFill>
                    <w14:schemeClr w14:val="tx1"/>
                  </w14:solidFill>
                </w14:textFill>
              </w:rPr>
              <w:t>纽卡斯尔大学建校于1965年，是隶属于澳大利亚政府的著名大学，位于澳大利亚纽卡斯尔市。纽卡斯尔大学作为澳大利亚著名大学，不论在教育还是在研究领域，在澳大利亚都居领先及创新地位，吸引了世界各地高素质的学生和教学人员，也是国际上公认的“由问题指导学习”方法的先驱。2020年QS世界大学排名为276名，2019年USNews世界大学排名为207名。纽卡斯尔大学由11个学院，即：工商管理、建筑、法律、工程、教育、护理、音乐、经济与商务艺术设计、艺术与社会科学、医药与健康科学等。纽卡斯尔大学商学院是世界最高标准</w:t>
            </w:r>
            <w:r>
              <w:fldChar w:fldCharType="begin"/>
            </w:r>
            <w:r>
              <w:instrText xml:space="preserve"> HYPERLINK "file:////item/AACSB/9735433"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AACSB</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认证的商学院，其中纽卡斯尔大学的工商管理专业（</w:t>
            </w:r>
            <w:r>
              <w:fldChar w:fldCharType="begin"/>
            </w:r>
            <w:r>
              <w:instrText xml:space="preserve"> HYPERLINK "file:////item/MBA/10420"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MBA</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已有21年的历史，持有该学院MBA学位的学生，将有资格成为澳大利亚工商管理学会（CMAA）的成员。同时，她的建筑学、工程学、医学以及护理学在澳大利亚始终处于一流水平。历年来纽卡斯尔大学的科研资金排名始终处于前十名，也是国际公认的优秀科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37" w:name="_Toc25284"/>
      <w:r>
        <w:rPr>
          <w:rFonts w:hint="eastAsia" w:ascii="仿宋" w:hAnsi="仿宋" w:eastAsia="仿宋"/>
          <w:sz w:val="36"/>
          <w:szCs w:val="36"/>
        </w:rPr>
        <w:t>澳大利亚昆士兰科技大学</w:t>
      </w:r>
      <w:bookmarkEnd w:id="3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学费根据院系不同费用大致为26400～31800澳币</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请咨询昆士兰科技大学官网https://www.qut.edu.au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（3）品学兼优，学习成绩排名前列，综合表现突出（GPA2.5以上）；</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spacing w:after="225"/>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昆士兰科技大学于1908年建校，坐落于</w:t>
            </w:r>
            <w:r>
              <w:fldChar w:fldCharType="begin"/>
            </w:r>
            <w:r>
              <w:instrText xml:space="preserve"> HYPERLINK "file:////item/%25E6%25BE%25B3%25E5%25A4%25A7%25E5%2588%25A9%25E4%25BA%259A/146759"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澳大利亚</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"file:////item/%25E6%2598%2586%25E5%25A3%25AB%25E5%2585%25B0%25E5%25B7%259E/957543"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昆士兰州</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"file:////item/%25E5%25B8%2583%25E9%2587%258C%25E6%2596%25AF%25E7%258F%25AD"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布里斯班</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市区。历史悠久，声誉卓著。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r>
              <w:fldChar w:fldCharType="begin"/>
            </w:r>
            <w:r>
              <w:instrText xml:space="preserve"> HYPERLINK "file:////item/%25E6%25B3%25B0%25E6%2599%25A4%25E5%25A3%25AB%25E9%25AB%2598%25E7%25AD%2589%25E6%2595%2599%25E8%2582%25B2%25E4%25B8%2596%25E7%2595%258C%25E5%25A4%25A7%25E5%25AD%25A6%25E6%258E%2592%25E5%2590%258D/4081934"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泰晤士高等教育世界大学排名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第179位，2020</w:t>
            </w:r>
            <w:r>
              <w:fldChar w:fldCharType="begin"/>
            </w:r>
            <w:r>
              <w:instrText xml:space="preserve"> HYPERLINK "file:////item/QS%25E4%25B8%2596%25E7%2595%258C%25E5%25A4%25A7%25E5%25AD%25A6%25E6%258E%2592%25E5%2590%258D/3292552"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QS世界大学排名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第224位</w:t>
            </w:r>
            <w:bookmarkStart w:id="38" w:name="ref_[2]_184747"/>
            <w:r>
              <w:rPr>
                <w:rFonts w:ascii="Calibri" w:hAnsi="Calibri" w:eastAsia="仿宋" w:cs="Calibri"/>
                <w:color w:val="000000" w:themeColor="text1"/>
                <w:kern w:val="0"/>
                <w:sz w:val="24"/>
                <w14:textFill>
                  <w14:solidFill>
                    <w14:schemeClr w14:val="tx1"/>
                  </w14:solidFill>
                </w14:textFill>
              </w:rPr>
              <w:t> </w:t>
            </w:r>
            <w:bookmarkEnd w:id="38"/>
            <w:r>
              <w:rPr>
                <w:rFonts w:hint="eastAsia" w:ascii="仿宋" w:hAnsi="仿宋" w:eastAsia="仿宋" w:cs="宋体"/>
                <w:color w:val="000000" w:themeColor="text1"/>
                <w:kern w:val="0"/>
                <w:sz w:val="24"/>
                <w14:textFill>
                  <w14:solidFill>
                    <w14:schemeClr w14:val="tx1"/>
                  </w14:solidFill>
                </w14:textFill>
              </w:rPr>
              <w:t>。杰出专业包括</w:t>
            </w:r>
            <w:r>
              <w:rPr>
                <w:rFonts w:hint="eastAsia" w:ascii="仿宋" w:hAnsi="仿宋" w:eastAsia="仿宋" w:cs="宋体"/>
                <w:color w:val="000000" w:themeColor="text1"/>
                <w:kern w:val="0"/>
                <w:sz w:val="24"/>
                <w:shd w:val="clear" w:color="auto" w:fill="FFFFFF"/>
                <w14:textFill>
                  <w14:solidFill>
                    <w14:schemeClr w14:val="tx1"/>
                  </w14:solidFill>
                </w14:textFill>
              </w:rPr>
              <w:t>会计、金融、管理、市场营销、大众传播、经济、人力资源管理、国际商业、公共关系管理、电子商务、软件、信息系统、软件工程、信息管理、传媒设计、数字多媒体、土木工程、工业设计、室内设计、项目管理、都市与区域计划、工程管理、景观建筑学、环境工程、通讯技术、医疗影像、生物学、心理学、健康服务管理、人类运动研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ab/>
      </w:r>
    </w:p>
    <w:p>
      <w:pPr>
        <w:pStyle w:val="4"/>
        <w:jc w:val="center"/>
        <w:rPr>
          <w:rFonts w:ascii="仿宋" w:hAnsi="仿宋" w:eastAsia="仿宋"/>
          <w:sz w:val="36"/>
          <w:szCs w:val="36"/>
        </w:rPr>
      </w:pPr>
      <w:bookmarkStart w:id="39" w:name="_Toc17014"/>
      <w:r>
        <w:rPr>
          <w:rFonts w:hint="eastAsia" w:ascii="仿宋" w:hAnsi="仿宋" w:eastAsia="仿宋"/>
          <w:sz w:val="36"/>
          <w:szCs w:val="36"/>
        </w:rPr>
        <w:t>新西兰惠灵顿维多利亚大学</w:t>
      </w:r>
      <w:bookmarkEnd w:id="39"/>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bookmarkStart w:id="40" w:name="OLE_LINK13"/>
            <w:r>
              <w:rPr>
                <w:rFonts w:hint="eastAsia" w:ascii="仿宋" w:hAnsi="仿宋" w:eastAsia="仿宋" w:cs="宋体"/>
                <w:color w:val="000000" w:themeColor="text1"/>
                <w:kern w:val="0"/>
                <w:shd w:val="clear" w:color="auto" w:fill="FFFFFF"/>
                <w:lang w:bidi="ar"/>
                <w14:textFill>
                  <w14:solidFill>
                    <w14:schemeClr w14:val="tx1"/>
                  </w14:solidFill>
                </w14:textFill>
              </w:rPr>
              <w:t>每学期选派优秀本科生进行交流学习。学习结束后，学生可将相关学分转换回我校</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约24000新元</w:t>
            </w:r>
          </w:p>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具体请咨询新西兰惠灵顿维多利亚大学官网费用计算https://www.victoria.ac.nz/international/scholarships-fees/cost-calculator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numPr>
                <w:ilvl w:val="0"/>
                <w:numId w:val="2"/>
              </w:numPr>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热爱祖国，具有良好的政治思想素质，在校期间无违法违纪记录；</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（2）身心健康，无不适合在外学习的疾病史；</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（3）品学兼优，学习成绩排名前列，综合表现突出。</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（4）雅思6分且单科不低于5.5分。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惠灵顿</w:t>
            </w:r>
            <w:r>
              <w:fldChar w:fldCharType="begin"/>
            </w:r>
            <w:r>
              <w:instrText xml:space="preserve"> HYPERLINK "https://baike.baidu.com/item/%E7%BB%B4%E5%A4%9A%E5%88%A9%E4%BA%9A%E5%A4%A7%E5%AD%A6" \t "https://baike.baidu.com/item/%E6%83%A0%E7%81%B5%E9%A1%BF%E7%BB%B4%E5%A4%9A%E5%88%A9%E4%BA%9A%E5%A4%A7%E5%AD%A6/_blank" </w:instrText>
            </w:r>
            <w:r>
              <w:fldChar w:fldCharType="separate"/>
            </w:r>
            <w:r>
              <w:rPr>
                <w:rFonts w:hint="eastAsia" w:ascii="仿宋" w:hAnsi="仿宋" w:eastAsia="仿宋" w:cs="宋体"/>
                <w:color w:val="000000" w:themeColor="text1"/>
                <w14:textFill>
                  <w14:solidFill>
                    <w14:schemeClr w14:val="tx1"/>
                  </w14:solidFill>
                </w14:textFill>
              </w:rPr>
              <w:t>维多利亚大学</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建校于1897年，位于首都</w:t>
            </w:r>
            <w:r>
              <w:fldChar w:fldCharType="begin"/>
            </w:r>
            <w:r>
              <w:instrText xml:space="preserve"> HYPERLINK "https://baike.baidu.com/item/%E6%83%A0%E7%81%B5%E9%A1%BF/3698" \t "https://baike.baidu.com/item/%E6%83%A0%E7%81%B5%E9%A1%BF%E7%BB%B4%E5%A4%9A%E5%88%A9%E4%BA%9A%E5%A4%A7%E5%AD%A6/_blank" </w:instrText>
            </w:r>
            <w:r>
              <w:fldChar w:fldCharType="separate"/>
            </w:r>
            <w:r>
              <w:rPr>
                <w:rFonts w:hint="eastAsia" w:ascii="仿宋" w:hAnsi="仿宋" w:eastAsia="仿宋" w:cs="宋体"/>
                <w:color w:val="000000" w:themeColor="text1"/>
                <w14:textFill>
                  <w14:solidFill>
                    <w14:schemeClr w14:val="tx1"/>
                  </w14:solidFill>
                </w14:textFill>
              </w:rPr>
              <w:t>惠灵顿</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 xml:space="preserve">，是一所大型公立综合性全国大学，新西兰八大五星级大学之一，为AACSB和EQUIS认证成员。在2020年QS世界大学排名中，惠灵顿维多利亚大学位列世界第215位，排名新西兰第三位，仅次于奥克兰大学和奥塔哥大学。惠灵顿维多利亚大学由六个学院组成，建筑与设计学院、工商管理学院、教育学院、工程学院、人文与社会科学院、法学院和自然科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tabs>
          <w:tab w:val="left" w:pos="2428"/>
        </w:tabs>
        <w:jc w:val="left"/>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ab/>
      </w:r>
    </w:p>
    <w:p>
      <w:pPr>
        <w:pStyle w:val="4"/>
        <w:jc w:val="center"/>
        <w:rPr>
          <w:rFonts w:ascii="仿宋" w:hAnsi="仿宋" w:eastAsia="仿宋"/>
          <w:sz w:val="36"/>
          <w:szCs w:val="36"/>
        </w:rPr>
      </w:pPr>
      <w:bookmarkStart w:id="41" w:name="_Toc8605"/>
      <w:r>
        <w:rPr>
          <w:rFonts w:hint="eastAsia" w:ascii="仿宋" w:hAnsi="仿宋" w:eastAsia="仿宋"/>
          <w:sz w:val="36"/>
          <w:szCs w:val="36"/>
        </w:rPr>
        <w:t>马来西亚马来亚大学</w:t>
      </w:r>
      <w:bookmarkEnd w:id="4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约1260林吉特每学期</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详情请咨询马来亚大学官网https://isc.um.edu.my/fees-undergraduate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（4）较强的英语沟通能力（商务和会计专业学生需提供语言成绩：雅思不低于6，托福不低于79）。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马来亚大学是一所文理学科和医学兼有的综合性大学，是</w:t>
            </w:r>
            <w:r>
              <w:fldChar w:fldCharType="begin"/>
            </w:r>
            <w:r>
              <w:instrText xml:space="preserve"> HYPERLINK "http://baike.baidu.com/view/7009.htm"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马来西亚</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规模最大和最著名的大学之一，也是一所全马历史最悠久的学府。2011年4月27日，中国国务院总理</w:t>
            </w:r>
            <w:r>
              <w:fldChar w:fldCharType="begin"/>
            </w:r>
            <w:r>
              <w:instrText xml:space="preserve"> HYPERLINK "http://baike.baidu.com/view/1787.htm"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温家宝</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hd w:val="clear" w:color="auto" w:fill="FFFFFF"/>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1</w:t>
    </w:r>
    <w:r>
      <w:rPr>
        <w:rStyle w:val="34"/>
      </w:rP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pPr>
      <w:pStyle w:val="1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00A8E"/>
    <w:multiLevelType w:val="multilevel"/>
    <w:tmpl w:val="2F800A8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0C0F01B"/>
    <w:multiLevelType w:val="singleLevel"/>
    <w:tmpl w:val="50C0F01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B637C3"/>
    <w:rsid w:val="000170D4"/>
    <w:rsid w:val="00042630"/>
    <w:rsid w:val="0006648A"/>
    <w:rsid w:val="000C7727"/>
    <w:rsid w:val="000D0A5E"/>
    <w:rsid w:val="00117094"/>
    <w:rsid w:val="00122C08"/>
    <w:rsid w:val="00123A52"/>
    <w:rsid w:val="00147B49"/>
    <w:rsid w:val="001A25C7"/>
    <w:rsid w:val="001E0B59"/>
    <w:rsid w:val="00204706"/>
    <w:rsid w:val="00241F68"/>
    <w:rsid w:val="002A051F"/>
    <w:rsid w:val="002C32ED"/>
    <w:rsid w:val="002E4C53"/>
    <w:rsid w:val="002F6A10"/>
    <w:rsid w:val="00320724"/>
    <w:rsid w:val="00344EAD"/>
    <w:rsid w:val="00354CCD"/>
    <w:rsid w:val="00366073"/>
    <w:rsid w:val="003B0EF6"/>
    <w:rsid w:val="003B75FB"/>
    <w:rsid w:val="00437DA0"/>
    <w:rsid w:val="004856AE"/>
    <w:rsid w:val="004B06C3"/>
    <w:rsid w:val="004D7D89"/>
    <w:rsid w:val="004E3F03"/>
    <w:rsid w:val="004F0007"/>
    <w:rsid w:val="004F6E0F"/>
    <w:rsid w:val="00541DBF"/>
    <w:rsid w:val="005622C5"/>
    <w:rsid w:val="005A0CBD"/>
    <w:rsid w:val="005B332D"/>
    <w:rsid w:val="005F6D19"/>
    <w:rsid w:val="00606645"/>
    <w:rsid w:val="00613B5B"/>
    <w:rsid w:val="00621431"/>
    <w:rsid w:val="006832D2"/>
    <w:rsid w:val="006B156E"/>
    <w:rsid w:val="006C6A54"/>
    <w:rsid w:val="006D1174"/>
    <w:rsid w:val="007243E5"/>
    <w:rsid w:val="007264A7"/>
    <w:rsid w:val="00751781"/>
    <w:rsid w:val="00792C12"/>
    <w:rsid w:val="007A4414"/>
    <w:rsid w:val="007E4A14"/>
    <w:rsid w:val="00832C57"/>
    <w:rsid w:val="00841A7E"/>
    <w:rsid w:val="008639C3"/>
    <w:rsid w:val="0087380F"/>
    <w:rsid w:val="008750B2"/>
    <w:rsid w:val="008F1796"/>
    <w:rsid w:val="00901A7F"/>
    <w:rsid w:val="00915445"/>
    <w:rsid w:val="0095571D"/>
    <w:rsid w:val="00957993"/>
    <w:rsid w:val="009721E4"/>
    <w:rsid w:val="0098061F"/>
    <w:rsid w:val="009B57FF"/>
    <w:rsid w:val="009C17F6"/>
    <w:rsid w:val="009E3BDD"/>
    <w:rsid w:val="009F3E94"/>
    <w:rsid w:val="00A17A32"/>
    <w:rsid w:val="00A449EA"/>
    <w:rsid w:val="00A64D00"/>
    <w:rsid w:val="00AF4110"/>
    <w:rsid w:val="00B0170B"/>
    <w:rsid w:val="00B0769C"/>
    <w:rsid w:val="00B1082F"/>
    <w:rsid w:val="00B63757"/>
    <w:rsid w:val="00B84A24"/>
    <w:rsid w:val="00C01B8C"/>
    <w:rsid w:val="00C03FF7"/>
    <w:rsid w:val="00C44C10"/>
    <w:rsid w:val="00C83D7E"/>
    <w:rsid w:val="00CA10B5"/>
    <w:rsid w:val="00CA1AA3"/>
    <w:rsid w:val="00CA2889"/>
    <w:rsid w:val="00CD4C7B"/>
    <w:rsid w:val="00CF06B6"/>
    <w:rsid w:val="00CF660D"/>
    <w:rsid w:val="00D14848"/>
    <w:rsid w:val="00D26FAA"/>
    <w:rsid w:val="00D47B01"/>
    <w:rsid w:val="00DC3089"/>
    <w:rsid w:val="00E24242"/>
    <w:rsid w:val="00E432F7"/>
    <w:rsid w:val="00E44B1D"/>
    <w:rsid w:val="00E54F8F"/>
    <w:rsid w:val="00E61D20"/>
    <w:rsid w:val="00E80055"/>
    <w:rsid w:val="00EA1238"/>
    <w:rsid w:val="00EC01B0"/>
    <w:rsid w:val="00ED3278"/>
    <w:rsid w:val="00F06075"/>
    <w:rsid w:val="00F15835"/>
    <w:rsid w:val="00F22916"/>
    <w:rsid w:val="00F40BA0"/>
    <w:rsid w:val="00F51C7B"/>
    <w:rsid w:val="00F73B36"/>
    <w:rsid w:val="00F766A0"/>
    <w:rsid w:val="00FA2AC1"/>
    <w:rsid w:val="00FB5F16"/>
    <w:rsid w:val="00FD0963"/>
    <w:rsid w:val="033835C5"/>
    <w:rsid w:val="041554E7"/>
    <w:rsid w:val="043E5A21"/>
    <w:rsid w:val="054349B2"/>
    <w:rsid w:val="05553232"/>
    <w:rsid w:val="059C4CEC"/>
    <w:rsid w:val="05FA04B5"/>
    <w:rsid w:val="077E7282"/>
    <w:rsid w:val="082B5D4C"/>
    <w:rsid w:val="086E3F88"/>
    <w:rsid w:val="0CAF1884"/>
    <w:rsid w:val="0EA622B2"/>
    <w:rsid w:val="1099027C"/>
    <w:rsid w:val="119B7881"/>
    <w:rsid w:val="12494EC1"/>
    <w:rsid w:val="126B3217"/>
    <w:rsid w:val="15C34C76"/>
    <w:rsid w:val="17783479"/>
    <w:rsid w:val="18B330A4"/>
    <w:rsid w:val="19CB4F4F"/>
    <w:rsid w:val="19ED7944"/>
    <w:rsid w:val="1C8B0D4A"/>
    <w:rsid w:val="1FD66EDA"/>
    <w:rsid w:val="1FF9718D"/>
    <w:rsid w:val="21E528FE"/>
    <w:rsid w:val="24446BEF"/>
    <w:rsid w:val="24C95BA6"/>
    <w:rsid w:val="25093983"/>
    <w:rsid w:val="255C37FB"/>
    <w:rsid w:val="255D4F4D"/>
    <w:rsid w:val="257944EB"/>
    <w:rsid w:val="273E5983"/>
    <w:rsid w:val="2AC86FEF"/>
    <w:rsid w:val="2ED60CC9"/>
    <w:rsid w:val="302007CF"/>
    <w:rsid w:val="30C9113B"/>
    <w:rsid w:val="317617CB"/>
    <w:rsid w:val="31CA628E"/>
    <w:rsid w:val="326E20D9"/>
    <w:rsid w:val="327A2A20"/>
    <w:rsid w:val="35634F9A"/>
    <w:rsid w:val="35B637C3"/>
    <w:rsid w:val="38AF0395"/>
    <w:rsid w:val="3B202CC9"/>
    <w:rsid w:val="3D381641"/>
    <w:rsid w:val="3EF81A54"/>
    <w:rsid w:val="3EFC5C2C"/>
    <w:rsid w:val="3FA22D0E"/>
    <w:rsid w:val="429E645D"/>
    <w:rsid w:val="452403F0"/>
    <w:rsid w:val="4636055E"/>
    <w:rsid w:val="46667D6A"/>
    <w:rsid w:val="4AA361CC"/>
    <w:rsid w:val="4DF04E21"/>
    <w:rsid w:val="4E1216B9"/>
    <w:rsid w:val="4EBE4E15"/>
    <w:rsid w:val="510312D5"/>
    <w:rsid w:val="5252669C"/>
    <w:rsid w:val="52A054C0"/>
    <w:rsid w:val="52D37E4D"/>
    <w:rsid w:val="53077268"/>
    <w:rsid w:val="54214779"/>
    <w:rsid w:val="55101B7A"/>
    <w:rsid w:val="573C3213"/>
    <w:rsid w:val="590113B4"/>
    <w:rsid w:val="590E55C8"/>
    <w:rsid w:val="59B41875"/>
    <w:rsid w:val="5A053928"/>
    <w:rsid w:val="5A660630"/>
    <w:rsid w:val="5EA81D3F"/>
    <w:rsid w:val="60B64216"/>
    <w:rsid w:val="60BC5B58"/>
    <w:rsid w:val="61706FBC"/>
    <w:rsid w:val="635B261A"/>
    <w:rsid w:val="65640D13"/>
    <w:rsid w:val="65E32635"/>
    <w:rsid w:val="6643553D"/>
    <w:rsid w:val="670A6F51"/>
    <w:rsid w:val="6A6575CE"/>
    <w:rsid w:val="6B2521FD"/>
    <w:rsid w:val="6BFC005B"/>
    <w:rsid w:val="6F1D07E7"/>
    <w:rsid w:val="703021B7"/>
    <w:rsid w:val="728F406F"/>
    <w:rsid w:val="72D60383"/>
    <w:rsid w:val="7300726F"/>
    <w:rsid w:val="730F6C56"/>
    <w:rsid w:val="73434632"/>
    <w:rsid w:val="799B3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after="120"/>
      <w:contextualSpacing/>
      <w:outlineLvl w:val="0"/>
    </w:pPr>
    <w:rPr>
      <w:rFonts w:asciiTheme="majorHAnsi" w:hAnsiTheme="majorHAnsi"/>
      <w:color w:val="2E75B6" w:themeColor="accent1" w:themeShade="BF"/>
      <w:sz w:val="36"/>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outlineLvl w:val="2"/>
    </w:pPr>
    <w:rPr>
      <w:b/>
      <w:color w:val="404040" w:themeColor="text1" w:themeTint="BF"/>
      <w14:textFill>
        <w14:solidFill>
          <w14:schemeClr w14:val="tx1">
            <w14:lumMod w14:val="75000"/>
            <w14:lumOff w14:val="2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 w:val="20"/>
      <w:szCs w:val="20"/>
    </w:rPr>
  </w:style>
  <w:style w:type="paragraph" w:styleId="6">
    <w:name w:val="index 8"/>
    <w:basedOn w:val="1"/>
    <w:next w:val="1"/>
    <w:qFormat/>
    <w:uiPriority w:val="0"/>
    <w:pPr>
      <w:ind w:left="1680" w:hanging="210"/>
    </w:pPr>
  </w:style>
  <w:style w:type="paragraph" w:styleId="7">
    <w:name w:val="index 5"/>
    <w:basedOn w:val="1"/>
    <w:next w:val="1"/>
    <w:qFormat/>
    <w:uiPriority w:val="0"/>
    <w:pPr>
      <w:ind w:left="1050" w:hanging="210"/>
    </w:pPr>
  </w:style>
  <w:style w:type="paragraph" w:styleId="8">
    <w:name w:val="index 6"/>
    <w:basedOn w:val="1"/>
    <w:next w:val="1"/>
    <w:qFormat/>
    <w:uiPriority w:val="0"/>
    <w:pPr>
      <w:ind w:left="1260" w:hanging="210"/>
    </w:pPr>
  </w:style>
  <w:style w:type="paragraph" w:styleId="9">
    <w:name w:val="index 4"/>
    <w:basedOn w:val="1"/>
    <w:next w:val="1"/>
    <w:qFormat/>
    <w:uiPriority w:val="0"/>
    <w:pPr>
      <w:ind w:left="840" w:hanging="210"/>
    </w:pPr>
  </w:style>
  <w:style w:type="paragraph" w:styleId="10">
    <w:name w:val="toc 5"/>
    <w:basedOn w:val="1"/>
    <w:next w:val="1"/>
    <w:qFormat/>
    <w:uiPriority w:val="0"/>
    <w:pPr>
      <w:ind w:left="840"/>
      <w:jc w:val="left"/>
    </w:pPr>
    <w:rPr>
      <w:sz w:val="20"/>
      <w:szCs w:val="20"/>
    </w:rPr>
  </w:style>
  <w:style w:type="paragraph" w:styleId="11">
    <w:name w:val="toc 3"/>
    <w:basedOn w:val="1"/>
    <w:next w:val="1"/>
    <w:unhideWhenUsed/>
    <w:qFormat/>
    <w:uiPriority w:val="39"/>
    <w:pPr>
      <w:ind w:left="420"/>
      <w:jc w:val="left"/>
    </w:pPr>
    <w:rPr>
      <w:sz w:val="20"/>
      <w:szCs w:val="20"/>
    </w:rPr>
  </w:style>
  <w:style w:type="paragraph" w:styleId="12">
    <w:name w:val="toc 8"/>
    <w:basedOn w:val="1"/>
    <w:next w:val="1"/>
    <w:qFormat/>
    <w:uiPriority w:val="0"/>
    <w:pPr>
      <w:ind w:left="1470"/>
      <w:jc w:val="left"/>
    </w:pPr>
    <w:rPr>
      <w:sz w:val="20"/>
      <w:szCs w:val="20"/>
    </w:rPr>
  </w:style>
  <w:style w:type="paragraph" w:styleId="13">
    <w:name w:val="index 3"/>
    <w:basedOn w:val="1"/>
    <w:next w:val="1"/>
    <w:qFormat/>
    <w:uiPriority w:val="0"/>
    <w:pPr>
      <w:ind w:left="630" w:hanging="210"/>
    </w:pPr>
  </w:style>
  <w:style w:type="paragraph" w:styleId="14">
    <w:name w:val="Balloon Text"/>
    <w:basedOn w:val="1"/>
    <w:link w:val="43"/>
    <w:qFormat/>
    <w:uiPriority w:val="0"/>
    <w:rPr>
      <w:sz w:val="18"/>
      <w:szCs w:val="18"/>
    </w:rPr>
  </w:style>
  <w:style w:type="paragraph" w:styleId="15">
    <w:name w:val="footer"/>
    <w:basedOn w:val="1"/>
    <w:link w:val="41"/>
    <w:qFormat/>
    <w:uiPriority w:val="0"/>
    <w:pPr>
      <w:tabs>
        <w:tab w:val="center" w:pos="4153"/>
        <w:tab w:val="right" w:pos="8306"/>
      </w:tabs>
      <w:snapToGrid w:val="0"/>
      <w:jc w:val="left"/>
    </w:pPr>
    <w:rPr>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jc w:val="left"/>
    </w:pPr>
    <w:rPr>
      <w:b/>
      <w:bCs/>
      <w:i/>
      <w:iCs/>
      <w:sz w:val="24"/>
    </w:rPr>
  </w:style>
  <w:style w:type="paragraph" w:styleId="18">
    <w:name w:val="toc 4"/>
    <w:basedOn w:val="1"/>
    <w:next w:val="1"/>
    <w:qFormat/>
    <w:uiPriority w:val="0"/>
    <w:pPr>
      <w:ind w:left="630"/>
      <w:jc w:val="left"/>
    </w:pPr>
    <w:rPr>
      <w:sz w:val="20"/>
      <w:szCs w:val="20"/>
    </w:rPr>
  </w:style>
  <w:style w:type="paragraph" w:styleId="19">
    <w:name w:val="index heading"/>
    <w:basedOn w:val="1"/>
    <w:next w:val="20"/>
    <w:qFormat/>
    <w:uiPriority w:val="0"/>
  </w:style>
  <w:style w:type="paragraph" w:styleId="20">
    <w:name w:val="index 1"/>
    <w:basedOn w:val="1"/>
    <w:next w:val="1"/>
    <w:qFormat/>
    <w:uiPriority w:val="0"/>
    <w:pPr>
      <w:ind w:left="210" w:hanging="210"/>
    </w:pPr>
  </w:style>
  <w:style w:type="paragraph" w:styleId="21">
    <w:name w:val="toc 6"/>
    <w:basedOn w:val="1"/>
    <w:next w:val="1"/>
    <w:qFormat/>
    <w:uiPriority w:val="0"/>
    <w:pPr>
      <w:ind w:left="1050"/>
      <w:jc w:val="left"/>
    </w:pPr>
    <w:rPr>
      <w:sz w:val="20"/>
      <w:szCs w:val="20"/>
    </w:rPr>
  </w:style>
  <w:style w:type="paragraph" w:styleId="22">
    <w:name w:val="index 7"/>
    <w:basedOn w:val="1"/>
    <w:next w:val="1"/>
    <w:qFormat/>
    <w:uiPriority w:val="0"/>
    <w:pPr>
      <w:ind w:left="1470" w:hanging="210"/>
    </w:pPr>
  </w:style>
  <w:style w:type="paragraph" w:styleId="23">
    <w:name w:val="index 9"/>
    <w:basedOn w:val="1"/>
    <w:next w:val="1"/>
    <w:qFormat/>
    <w:uiPriority w:val="0"/>
    <w:pPr>
      <w:ind w:left="1890" w:hanging="210"/>
    </w:pPr>
  </w:style>
  <w:style w:type="paragraph" w:styleId="24">
    <w:name w:val="table of figures"/>
    <w:basedOn w:val="1"/>
    <w:next w:val="1"/>
    <w:qFormat/>
    <w:uiPriority w:val="0"/>
    <w:pPr>
      <w:ind w:left="420" w:hanging="420"/>
    </w:pPr>
  </w:style>
  <w:style w:type="paragraph" w:styleId="25">
    <w:name w:val="toc 2"/>
    <w:basedOn w:val="1"/>
    <w:next w:val="1"/>
    <w:unhideWhenUsed/>
    <w:qFormat/>
    <w:uiPriority w:val="39"/>
    <w:pPr>
      <w:spacing w:before="120"/>
      <w:ind w:left="210"/>
      <w:jc w:val="left"/>
    </w:pPr>
    <w:rPr>
      <w:b/>
      <w:bCs/>
      <w:sz w:val="22"/>
      <w:szCs w:val="22"/>
    </w:rPr>
  </w:style>
  <w:style w:type="paragraph" w:styleId="26">
    <w:name w:val="toc 9"/>
    <w:basedOn w:val="1"/>
    <w:next w:val="1"/>
    <w:uiPriority w:val="0"/>
    <w:pPr>
      <w:ind w:left="1680"/>
      <w:jc w:val="left"/>
    </w:pPr>
    <w:rPr>
      <w:sz w:val="20"/>
      <w:szCs w:val="20"/>
    </w:rPr>
  </w:style>
  <w:style w:type="paragraph" w:styleId="27">
    <w:name w:val="Normal (Web)"/>
    <w:basedOn w:val="1"/>
    <w:qFormat/>
    <w:uiPriority w:val="0"/>
    <w:rPr>
      <w:sz w:val="24"/>
    </w:rPr>
  </w:style>
  <w:style w:type="paragraph" w:styleId="28">
    <w:name w:val="index 2"/>
    <w:basedOn w:val="1"/>
    <w:next w:val="1"/>
    <w:qFormat/>
    <w:uiPriority w:val="0"/>
    <w:pPr>
      <w:ind w:left="420" w:hanging="210"/>
    </w:pPr>
  </w:style>
  <w:style w:type="paragraph" w:styleId="29">
    <w:name w:val="Title"/>
    <w:basedOn w:val="1"/>
    <w:next w:val="1"/>
    <w:link w:val="39"/>
    <w:qFormat/>
    <w:uiPriority w:val="0"/>
    <w:pPr>
      <w:spacing w:before="240" w:after="60"/>
      <w:jc w:val="center"/>
      <w:outlineLvl w:val="0"/>
    </w:pPr>
    <w:rPr>
      <w:rFonts w:asciiTheme="majorHAnsi" w:hAnsiTheme="majorHAnsi" w:eastAsiaTheme="majorEastAsia" w:cstheme="majorBidi"/>
      <w:b/>
      <w:bCs/>
      <w:sz w:val="32"/>
      <w:szCs w:val="3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uiPriority w:val="0"/>
  </w:style>
  <w:style w:type="character" w:styleId="35">
    <w:name w:val="Hyperlink"/>
    <w:basedOn w:val="32"/>
    <w:qFormat/>
    <w:uiPriority w:val="99"/>
    <w:rPr>
      <w:color w:val="0000FF"/>
      <w:u w:val="single"/>
    </w:rPr>
  </w:style>
  <w:style w:type="character" w:customStyle="1" w:styleId="36">
    <w:name w:val="apple-converted-space"/>
    <w:basedOn w:val="32"/>
    <w:qFormat/>
    <w:uiPriority w:val="0"/>
  </w:style>
  <w:style w:type="paragraph" w:customStyle="1" w:styleId="37">
    <w:name w:val="TOC Heading"/>
    <w:basedOn w:val="2"/>
    <w:next w:val="1"/>
    <w:unhideWhenUsed/>
    <w:qFormat/>
    <w:uiPriority w:val="39"/>
    <w:pPr>
      <w:keepNext/>
      <w:keepLines/>
      <w:widowControl/>
      <w:spacing w:before="480" w:after="0" w:line="276" w:lineRule="auto"/>
      <w:contextualSpacing w:val="0"/>
      <w:jc w:val="left"/>
      <w:outlineLvl w:val="9"/>
    </w:pPr>
    <w:rPr>
      <w:rFonts w:eastAsiaTheme="majorEastAsia" w:cstheme="majorBidi"/>
      <w:b/>
      <w:bCs/>
      <w:kern w:val="0"/>
      <w:sz w:val="28"/>
      <w:szCs w:val="28"/>
    </w:rPr>
  </w:style>
  <w:style w:type="paragraph" w:styleId="38">
    <w:name w:val="List Paragraph"/>
    <w:basedOn w:val="1"/>
    <w:uiPriority w:val="99"/>
    <w:pPr>
      <w:ind w:firstLine="420" w:firstLineChars="200"/>
    </w:pPr>
  </w:style>
  <w:style w:type="character" w:customStyle="1" w:styleId="39">
    <w:name w:val="标题 字符"/>
    <w:basedOn w:val="32"/>
    <w:link w:val="29"/>
    <w:uiPriority w:val="0"/>
    <w:rPr>
      <w:rFonts w:asciiTheme="majorHAnsi" w:hAnsiTheme="majorHAnsi" w:eastAsiaTheme="majorEastAsia" w:cstheme="majorBidi"/>
      <w:b/>
      <w:bCs/>
      <w:kern w:val="2"/>
      <w:sz w:val="32"/>
      <w:szCs w:val="32"/>
    </w:rPr>
  </w:style>
  <w:style w:type="character" w:customStyle="1" w:styleId="40">
    <w:name w:val="标题 2 字符"/>
    <w:basedOn w:val="32"/>
    <w:link w:val="3"/>
    <w:uiPriority w:val="0"/>
    <w:rPr>
      <w:rFonts w:asciiTheme="majorHAnsi" w:hAnsiTheme="majorHAnsi" w:eastAsiaTheme="majorEastAsia" w:cstheme="majorBidi"/>
      <w:b/>
      <w:bCs/>
      <w:kern w:val="2"/>
      <w:sz w:val="32"/>
      <w:szCs w:val="32"/>
    </w:rPr>
  </w:style>
  <w:style w:type="character" w:customStyle="1" w:styleId="41">
    <w:name w:val="页脚 字符"/>
    <w:basedOn w:val="32"/>
    <w:link w:val="15"/>
    <w:uiPriority w:val="0"/>
    <w:rPr>
      <w:rFonts w:asciiTheme="minorHAnsi" w:hAnsiTheme="minorHAnsi" w:eastAsiaTheme="minorEastAsia" w:cstheme="minorBidi"/>
      <w:kern w:val="2"/>
      <w:sz w:val="18"/>
      <w:szCs w:val="18"/>
    </w:rPr>
  </w:style>
  <w:style w:type="character" w:customStyle="1" w:styleId="42">
    <w:name w:val="页眉 字符"/>
    <w:basedOn w:val="32"/>
    <w:link w:val="16"/>
    <w:uiPriority w:val="0"/>
    <w:rPr>
      <w:rFonts w:asciiTheme="minorHAnsi" w:hAnsiTheme="minorHAnsi" w:eastAsiaTheme="minorEastAsia" w:cstheme="minorBidi"/>
      <w:kern w:val="2"/>
      <w:sz w:val="18"/>
      <w:szCs w:val="18"/>
    </w:rPr>
  </w:style>
  <w:style w:type="character" w:customStyle="1" w:styleId="43">
    <w:name w:val="批注框文本 字符"/>
    <w:basedOn w:val="32"/>
    <w:link w:val="1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80963F-0D25-4811-A3EC-11BF1E3189B1}">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5121</Words>
  <Characters>29191</Characters>
  <Lines>243</Lines>
  <Paragraphs>68</Paragraphs>
  <TotalTime>2</TotalTime>
  <ScaleCrop>false</ScaleCrop>
  <LinksUpToDate>false</LinksUpToDate>
  <CharactersWithSpaces>34244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2021-03-01T00:18:00Z</dcterms:created>
  <dc:creator>不慌不忙</dc:creator>
  <cp:lastModifiedBy>闫悦</cp:lastModifiedBy>
  <cp:lastPrinted>2021-03-03T00:21:00Z</cp:lastPrinted>
  <dcterms:modified xsi:type="dcterms:W3CDTF">2021-03-05T02:04:39Z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