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tabs>
          <w:tab w:val="right" w:leader="dot" w:pos="8306"/>
        </w:tabs>
        <w:jc w:val="center"/>
        <w:rPr>
          <w:rFonts w:hint="eastAsia" w:ascii="宋体" w:hAnsi="宋体" w:eastAsia="宋体" w:cs="宋体"/>
          <w:color w:val="000000" w:themeColor="text1"/>
          <w:sz w:val="40"/>
          <w:szCs w:val="40"/>
          <w:shd w:val="clear" w:color="auto" w:fill="FFFFFF"/>
          <w14:textFill>
            <w14:solidFill>
              <w14:schemeClr w14:val="tx1"/>
            </w14:solidFill>
          </w14:textFill>
        </w:rPr>
      </w:pPr>
      <w:r>
        <w:fldChar w:fldCharType="begin"/>
      </w:r>
      <w:r>
        <w:instrText xml:space="preserve">HYPERLINK "https://icd.ncepu.edu.cn/docs//2022-02/7de895fc6c0e419abbae348204813c20.docx"</w:instrText>
      </w:r>
      <w:r>
        <w:fldChar w:fldCharType="separate"/>
      </w:r>
      <w:r>
        <w:rPr>
          <w:rStyle w:val="35"/>
          <w:rFonts w:hint="eastAsia" w:ascii="宋体" w:hAnsi="宋体" w:eastAsia="宋体" w:cs="宋体"/>
          <w:color w:val="000000" w:themeColor="text1"/>
          <w:sz w:val="40"/>
          <w:szCs w:val="40"/>
          <w:u w:val="none"/>
          <w:shd w:val="clear" w:color="auto" w:fill="FFFFFF"/>
          <w14:textFill>
            <w14:solidFill>
              <w14:schemeClr w14:val="tx1"/>
            </w14:solidFill>
          </w14:textFill>
        </w:rPr>
        <w:t>2026-2027学年春季学期本科生交流项目目录</w:t>
      </w:r>
      <w:r>
        <w:fldChar w:fldCharType="end"/>
      </w:r>
    </w:p>
    <w:sdt>
      <w:sdtPr>
        <w:rPr>
          <w:rFonts w:asciiTheme="minorHAnsi" w:hAnsiTheme="minorHAnsi" w:eastAsiaTheme="minorEastAsia" w:cstheme="minorBidi"/>
          <w:color w:val="auto"/>
          <w:kern w:val="2"/>
          <w:sz w:val="21"/>
          <w:szCs w:val="24"/>
          <w:lang w:val="zh-CN"/>
        </w:rPr>
        <w:id w:val="-1"/>
        <w:docPartObj>
          <w:docPartGallery w:val="Table of Contents"/>
          <w:docPartUnique/>
        </w:docPartObj>
      </w:sdtPr>
      <w:sdtEndPr>
        <w:rPr>
          <w:rFonts w:asciiTheme="minorHAnsi" w:hAnsiTheme="minorHAnsi" w:eastAsiaTheme="minorEastAsia" w:cstheme="minorBidi"/>
          <w:b/>
          <w:bCs/>
          <w:color w:val="auto"/>
          <w:kern w:val="2"/>
          <w:sz w:val="21"/>
          <w:szCs w:val="24"/>
          <w:lang w:val="zh-CN"/>
        </w:rPr>
      </w:sdtEndPr>
      <w:sdtContent>
        <w:p>
          <w:pPr>
            <w:pStyle w:val="44"/>
          </w:pPr>
          <w:bookmarkStart w:id="0" w:name="_Toc19030"/>
        </w:p>
        <w:p>
          <w:pPr>
            <w:pStyle w:val="17"/>
            <w:tabs>
              <w:tab w:val="right" w:leader="dot" w:pos="8296"/>
            </w:tabs>
            <w:rPr>
              <w:rFonts w:hint="eastAsia"/>
              <w:b w:val="0"/>
              <w:bCs w:val="0"/>
              <w:i w:val="0"/>
              <w:iCs w:val="0"/>
              <w:sz w:val="22"/>
              <w14:ligatures w14:val="standardContextual"/>
            </w:rPr>
          </w:pPr>
          <w:r>
            <w:fldChar w:fldCharType="begin"/>
          </w:r>
          <w:r>
            <w:instrText xml:space="preserve"> TOC \o "1-3" \h \z \u </w:instrText>
          </w:r>
          <w:r>
            <w:fldChar w:fldCharType="separate"/>
          </w:r>
          <w:r>
            <w:fldChar w:fldCharType="begin"/>
          </w:r>
          <w:r>
            <w:instrText xml:space="preserve"> HYPERLINK \l "_Toc239324126" </w:instrText>
          </w:r>
          <w:r>
            <w:fldChar w:fldCharType="separate"/>
          </w:r>
          <w:r>
            <w:rPr>
              <w:rStyle w:val="35"/>
            </w:rPr>
            <w:t>免学费项目</w:t>
          </w:r>
          <w:r>
            <w:rPr>
              <w:rFonts w:hint="eastAsia"/>
            </w:rPr>
            <w:tab/>
          </w:r>
          <w:r>
            <w:rPr>
              <w:rFonts w:hint="eastAsia"/>
            </w:rPr>
            <w:fldChar w:fldCharType="begin"/>
          </w:r>
          <w:r>
            <w:rPr>
              <w:rFonts w:hint="eastAsia"/>
            </w:rPr>
            <w:instrText xml:space="preserve"> </w:instrText>
          </w:r>
          <w:r>
            <w:instrText xml:space="preserve">PAGEREF _Toc239324126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"_Toc239324127" </w:instrText>
          </w:r>
          <w:r>
            <w:fldChar w:fldCharType="separate"/>
          </w:r>
          <w:r>
            <w:rPr>
              <w:rStyle w:val="35"/>
              <w:rFonts w:ascii="仿宋" w:hAnsi="仿宋" w:eastAsia="仿宋"/>
            </w:rPr>
            <w:t>意大利比萨大学</w:t>
          </w:r>
          <w:r>
            <w:rPr>
              <w:rFonts w:hint="eastAsia"/>
            </w:rPr>
            <w:tab/>
          </w:r>
          <w:r>
            <w:rPr>
              <w:rFonts w:hint="eastAsia"/>
            </w:rPr>
            <w:fldChar w:fldCharType="begin"/>
          </w:r>
          <w:r>
            <w:rPr>
              <w:rFonts w:hint="eastAsia"/>
            </w:rPr>
            <w:instrText xml:space="preserve"> </w:instrText>
          </w:r>
          <w:r>
            <w:instrText xml:space="preserve">PAGEREF _Toc239324127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"_Toc239324128" </w:instrText>
          </w:r>
          <w:r>
            <w:fldChar w:fldCharType="separate"/>
          </w:r>
          <w:r>
            <w:rPr>
              <w:rStyle w:val="35"/>
              <w:rFonts w:ascii="仿宋" w:hAnsi="仿宋" w:eastAsia="仿宋"/>
            </w:rPr>
            <w:t>德国柏林自由大学</w:t>
          </w:r>
          <w:r>
            <w:rPr>
              <w:rFonts w:hint="eastAsia"/>
            </w:rPr>
            <w:tab/>
          </w:r>
          <w:r>
            <w:rPr>
              <w:rFonts w:hint="eastAsia"/>
            </w:rPr>
            <w:fldChar w:fldCharType="begin"/>
          </w:r>
          <w:r>
            <w:rPr>
              <w:rFonts w:hint="eastAsia"/>
            </w:rPr>
            <w:instrText xml:space="preserve"> </w:instrText>
          </w:r>
          <w:r>
            <w:instrText xml:space="preserve">PAGEREF _Toc239324128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"_Toc239324129" </w:instrText>
          </w:r>
          <w:r>
            <w:fldChar w:fldCharType="separate"/>
          </w:r>
          <w:r>
            <w:rPr>
              <w:rStyle w:val="35"/>
              <w:rFonts w:ascii="仿宋" w:hAnsi="仿宋" w:eastAsia="仿宋"/>
            </w:rPr>
            <w:t>德国勃兰登堡工业大学</w:t>
          </w:r>
          <w:r>
            <w:rPr>
              <w:rFonts w:hint="eastAsia"/>
            </w:rPr>
            <w:tab/>
          </w:r>
          <w:r>
            <w:rPr>
              <w:rFonts w:hint="eastAsia"/>
            </w:rPr>
            <w:fldChar w:fldCharType="begin"/>
          </w:r>
          <w:r>
            <w:rPr>
              <w:rFonts w:hint="eastAsia"/>
            </w:rPr>
            <w:instrText xml:space="preserve"> </w:instrText>
          </w:r>
          <w:r>
            <w:instrText xml:space="preserve">PAGEREF _Toc239324129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"_Toc239324130" </w:instrText>
          </w:r>
          <w:r>
            <w:fldChar w:fldCharType="separate"/>
          </w:r>
          <w:r>
            <w:rPr>
              <w:rStyle w:val="35"/>
              <w:rFonts w:ascii="仿宋" w:hAnsi="仿宋" w:eastAsia="仿宋"/>
            </w:rPr>
            <w:t>巴西坎皮纳斯大学</w:t>
          </w:r>
          <w:r>
            <w:rPr>
              <w:rFonts w:hint="eastAsia"/>
            </w:rPr>
            <w:tab/>
          </w:r>
          <w:r>
            <w:rPr>
              <w:rFonts w:hint="eastAsia"/>
            </w:rPr>
            <w:fldChar w:fldCharType="begin"/>
          </w:r>
          <w:r>
            <w:rPr>
              <w:rFonts w:hint="eastAsia"/>
            </w:rPr>
            <w:instrText xml:space="preserve"> </w:instrText>
          </w:r>
          <w:r>
            <w:instrText xml:space="preserve">PAGEREF _Toc239324130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"_Toc239324131" </w:instrText>
          </w:r>
          <w:r>
            <w:fldChar w:fldCharType="separate"/>
          </w:r>
          <w:r>
            <w:rPr>
              <w:rStyle w:val="35"/>
              <w:rFonts w:ascii="仿宋" w:hAnsi="仿宋" w:eastAsia="仿宋"/>
            </w:rPr>
            <w:t>巴西南大河天主教大学</w:t>
          </w:r>
          <w:r>
            <w:rPr>
              <w:rFonts w:hint="eastAsia"/>
            </w:rPr>
            <w:tab/>
          </w:r>
          <w:r>
            <w:rPr>
              <w:rFonts w:hint="eastAsia"/>
            </w:rPr>
            <w:fldChar w:fldCharType="begin"/>
          </w:r>
          <w:r>
            <w:rPr>
              <w:rFonts w:hint="eastAsia"/>
            </w:rPr>
            <w:instrText xml:space="preserve"> </w:instrText>
          </w:r>
          <w:r>
            <w:instrText xml:space="preserve">PAGEREF _Toc239324131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"_Toc239324132" </w:instrText>
          </w:r>
          <w:r>
            <w:fldChar w:fldCharType="separate"/>
          </w:r>
          <w:r>
            <w:rPr>
              <w:rStyle w:val="35"/>
              <w:rFonts w:ascii="仿宋" w:hAnsi="仿宋" w:eastAsia="仿宋"/>
            </w:rPr>
            <w:t>西班牙马德里理工大学</w:t>
          </w:r>
          <w:r>
            <w:rPr>
              <w:rFonts w:hint="eastAsia"/>
            </w:rPr>
            <w:tab/>
          </w:r>
          <w:r>
            <w:rPr>
              <w:rFonts w:hint="eastAsia"/>
            </w:rPr>
            <w:fldChar w:fldCharType="begin"/>
          </w:r>
          <w:r>
            <w:rPr>
              <w:rFonts w:hint="eastAsia"/>
            </w:rPr>
            <w:instrText xml:space="preserve"> </w:instrText>
          </w:r>
          <w:r>
            <w:instrText xml:space="preserve">PAGEREF _Toc239324132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"_Toc239324133" </w:instrText>
          </w:r>
          <w:r>
            <w:fldChar w:fldCharType="separate"/>
          </w:r>
          <w:r>
            <w:rPr>
              <w:rStyle w:val="35"/>
              <w:rFonts w:ascii="仿宋" w:hAnsi="仿宋" w:eastAsia="仿宋"/>
            </w:rPr>
            <w:t>波兰弗罗茨瓦夫理工大学</w:t>
          </w:r>
          <w:r>
            <w:rPr>
              <w:rFonts w:hint="eastAsia"/>
            </w:rPr>
            <w:tab/>
          </w:r>
          <w:r>
            <w:rPr>
              <w:rFonts w:hint="eastAsia"/>
            </w:rPr>
            <w:fldChar w:fldCharType="begin"/>
          </w:r>
          <w:r>
            <w:rPr>
              <w:rFonts w:hint="eastAsia"/>
            </w:rPr>
            <w:instrText xml:space="preserve"> </w:instrText>
          </w:r>
          <w:r>
            <w:instrText xml:space="preserve">PAGEREF _Toc239324133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"_Toc239324134" </w:instrText>
          </w:r>
          <w:r>
            <w:fldChar w:fldCharType="separate"/>
          </w:r>
          <w:r>
            <w:rPr>
              <w:rStyle w:val="35"/>
              <w:rFonts w:ascii="仿宋" w:hAnsi="仿宋" w:eastAsia="仿宋"/>
            </w:rPr>
            <w:t>克罗地亚萨格勒布大学</w:t>
          </w:r>
          <w:r>
            <w:rPr>
              <w:rFonts w:hint="eastAsia"/>
            </w:rPr>
            <w:tab/>
          </w:r>
          <w:r>
            <w:rPr>
              <w:rFonts w:hint="eastAsia"/>
            </w:rPr>
            <w:fldChar w:fldCharType="begin"/>
          </w:r>
          <w:r>
            <w:rPr>
              <w:rFonts w:hint="eastAsia"/>
            </w:rPr>
            <w:instrText xml:space="preserve"> </w:instrText>
          </w:r>
          <w:r>
            <w:instrText xml:space="preserve">PAGEREF _Toc239324134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"_Toc239324135" </w:instrText>
          </w:r>
          <w:r>
            <w:fldChar w:fldCharType="separate"/>
          </w:r>
          <w:r>
            <w:rPr>
              <w:rStyle w:val="35"/>
              <w:rFonts w:ascii="仿宋" w:hAnsi="仿宋" w:eastAsia="仿宋"/>
            </w:rPr>
            <w:t>俄罗斯乌拉尔国立经济大学</w:t>
          </w:r>
          <w:r>
            <w:rPr>
              <w:rFonts w:hint="eastAsia"/>
            </w:rPr>
            <w:tab/>
          </w:r>
          <w:r>
            <w:rPr>
              <w:rFonts w:hint="eastAsia"/>
            </w:rPr>
            <w:fldChar w:fldCharType="begin"/>
          </w:r>
          <w:r>
            <w:rPr>
              <w:rFonts w:hint="eastAsia"/>
            </w:rPr>
            <w:instrText xml:space="preserve"> </w:instrText>
          </w:r>
          <w:r>
            <w:instrText xml:space="preserve">PAGEREF _Toc239324135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"_Toc239324136" </w:instrText>
          </w:r>
          <w:r>
            <w:fldChar w:fldCharType="separate"/>
          </w:r>
          <w:r>
            <w:rPr>
              <w:rStyle w:val="35"/>
              <w:rFonts w:ascii="仿宋" w:hAnsi="仿宋" w:eastAsia="仿宋"/>
            </w:rPr>
            <w:t>韩国首尔市立大学</w:t>
          </w:r>
          <w:r>
            <w:rPr>
              <w:rFonts w:hint="eastAsia"/>
            </w:rPr>
            <w:tab/>
          </w:r>
          <w:r>
            <w:rPr>
              <w:rFonts w:hint="eastAsia"/>
            </w:rPr>
            <w:fldChar w:fldCharType="begin"/>
          </w:r>
          <w:r>
            <w:rPr>
              <w:rFonts w:hint="eastAsia"/>
            </w:rPr>
            <w:instrText xml:space="preserve"> </w:instrText>
          </w:r>
          <w:r>
            <w:instrText xml:space="preserve">PAGEREF _Toc239324136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"_Toc239324137" </w:instrText>
          </w:r>
          <w:r>
            <w:fldChar w:fldCharType="separate"/>
          </w:r>
          <w:r>
            <w:rPr>
              <w:rStyle w:val="35"/>
              <w:rFonts w:ascii="仿宋" w:hAnsi="仿宋" w:eastAsia="仿宋"/>
            </w:rPr>
            <w:t>韩国庆北大学</w:t>
          </w:r>
          <w:r>
            <w:rPr>
              <w:rFonts w:hint="eastAsia"/>
            </w:rPr>
            <w:tab/>
          </w:r>
          <w:r>
            <w:rPr>
              <w:rFonts w:hint="eastAsia"/>
            </w:rPr>
            <w:fldChar w:fldCharType="begin"/>
          </w:r>
          <w:r>
            <w:rPr>
              <w:rFonts w:hint="eastAsia"/>
            </w:rPr>
            <w:instrText xml:space="preserve"> </w:instrText>
          </w:r>
          <w:r>
            <w:instrText xml:space="preserve">PAGEREF _Toc239324137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11"/>
            <w:tabs>
              <w:tab w:val="right" w:leader="dot" w:pos="8296"/>
            </w:tabs>
            <w:rPr>
              <w:rFonts w:hint="eastAsia"/>
              <w:color w:val="auto"/>
              <w:sz w:val="22"/>
              <w:szCs w:val="24"/>
              <w14:ligatures w14:val="standardContextual"/>
            </w:rPr>
          </w:pPr>
          <w:r>
            <w:rPr>
              <w:color w:val="auto"/>
            </w:rPr>
            <w:fldChar w:fldCharType="begin"/>
          </w:r>
          <w:r>
            <w:rPr>
              <w:color w:val="auto"/>
            </w:rPr>
            <w:instrText xml:space="preserve"> HYPERLINK \l "_Toc239324138" </w:instrText>
          </w:r>
          <w:r>
            <w:rPr>
              <w:color w:val="auto"/>
            </w:rPr>
            <w:fldChar w:fldCharType="separate"/>
          </w:r>
          <w:r>
            <w:rPr>
              <w:rStyle w:val="35"/>
              <w:rFonts w:ascii="仿宋" w:hAnsi="仿宋" w:eastAsia="仿宋"/>
              <w:color w:val="auto"/>
            </w:rPr>
            <w:t>韩国淑明女子大学</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_Toc239324138 \h</w:instrText>
          </w:r>
          <w:r>
            <w:rPr>
              <w:rFonts w:hint="eastAsia"/>
              <w:color w:val="auto"/>
            </w:rPr>
            <w:instrText xml:space="preserve"> </w:instrText>
          </w:r>
          <w:r>
            <w:rPr>
              <w:rFonts w:hint="eastAsia"/>
              <w:color w:val="auto"/>
            </w:rPr>
            <w:fldChar w:fldCharType="separate"/>
          </w:r>
          <w:r>
            <w:rPr>
              <w:color w:val="auto"/>
            </w:rPr>
            <w:t>13</w:t>
          </w:r>
          <w:r>
            <w:rPr>
              <w:rFonts w:hint="eastAsia"/>
              <w:color w:val="auto"/>
            </w:rPr>
            <w:fldChar w:fldCharType="end"/>
          </w:r>
          <w:r>
            <w:rPr>
              <w:rFonts w:hint="eastAsia"/>
              <w:color w:val="auto"/>
            </w:rPr>
            <w:fldChar w:fldCharType="end"/>
          </w:r>
        </w:p>
        <w:p>
          <w:pPr>
            <w:pStyle w:val="11"/>
            <w:tabs>
              <w:tab w:val="right" w:leader="dot" w:pos="8296"/>
            </w:tabs>
            <w:rPr>
              <w:rFonts w:hint="eastAsia"/>
              <w:color w:val="auto"/>
              <w:sz w:val="22"/>
              <w:szCs w:val="24"/>
              <w14:ligatures w14:val="standardContextual"/>
            </w:rPr>
          </w:pPr>
          <w:r>
            <w:rPr>
              <w:color w:val="auto"/>
            </w:rPr>
            <w:fldChar w:fldCharType="begin"/>
          </w:r>
          <w:r>
            <w:rPr>
              <w:color w:val="auto"/>
            </w:rPr>
            <w:instrText xml:space="preserve"> HYPERLINK \l "_Toc239324139" </w:instrText>
          </w:r>
          <w:r>
            <w:rPr>
              <w:color w:val="auto"/>
            </w:rPr>
            <w:fldChar w:fldCharType="separate"/>
          </w:r>
          <w:r>
            <w:rPr>
              <w:rStyle w:val="35"/>
              <w:rFonts w:ascii="仿宋" w:hAnsi="仿宋" w:eastAsia="仿宋"/>
              <w:color w:val="auto"/>
            </w:rPr>
            <w:t>韩国祥明大学</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_Toc239324139 \h</w:instrText>
          </w:r>
          <w:r>
            <w:rPr>
              <w:rFonts w:hint="eastAsia"/>
              <w:color w:val="auto"/>
            </w:rPr>
            <w:instrText xml:space="preserve"> </w:instrText>
          </w:r>
          <w:r>
            <w:rPr>
              <w:rFonts w:hint="eastAsia"/>
              <w:color w:val="auto"/>
            </w:rPr>
            <w:fldChar w:fldCharType="separate"/>
          </w:r>
          <w:r>
            <w:rPr>
              <w:color w:val="auto"/>
            </w:rPr>
            <w:t>14</w:t>
          </w:r>
          <w:r>
            <w:rPr>
              <w:rFonts w:hint="eastAsia"/>
              <w:color w:val="auto"/>
            </w:rPr>
            <w:fldChar w:fldCharType="end"/>
          </w:r>
          <w:r>
            <w:rPr>
              <w:rFonts w:hint="eastAsia"/>
              <w:color w:val="auto"/>
            </w:rPr>
            <w:fldChar w:fldCharType="end"/>
          </w:r>
        </w:p>
        <w:p>
          <w:pPr>
            <w:pStyle w:val="11"/>
            <w:tabs>
              <w:tab w:val="right" w:leader="dot" w:pos="8296"/>
            </w:tabs>
            <w:rPr>
              <w:rFonts w:hint="eastAsia"/>
              <w:sz w:val="22"/>
              <w:szCs w:val="24"/>
              <w14:ligatures w14:val="standardContextual"/>
            </w:rPr>
          </w:pPr>
          <w:r>
            <w:rPr>
              <w:color w:val="auto"/>
            </w:rPr>
            <w:fldChar w:fldCharType="begin"/>
          </w:r>
          <w:r>
            <w:rPr>
              <w:color w:val="auto"/>
            </w:rPr>
            <w:instrText xml:space="preserve"> HYPERLINK \l "_Toc239324140" </w:instrText>
          </w:r>
          <w:r>
            <w:rPr>
              <w:color w:val="auto"/>
            </w:rPr>
            <w:fldChar w:fldCharType="separate"/>
          </w:r>
          <w:r>
            <w:rPr>
              <w:rStyle w:val="35"/>
              <w:rFonts w:ascii="仿宋" w:hAnsi="仿宋" w:eastAsia="仿宋"/>
              <w:color w:val="auto"/>
            </w:rPr>
            <w:t>韩国光云大学</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_Toc239324140 \h</w:instrText>
          </w:r>
          <w:r>
            <w:rPr>
              <w:rFonts w:hint="eastAsia"/>
              <w:color w:val="auto"/>
            </w:rPr>
            <w:instrText xml:space="preserve"> </w:instrText>
          </w:r>
          <w:r>
            <w:rPr>
              <w:rFonts w:hint="eastAsia"/>
              <w:color w:val="auto"/>
            </w:rPr>
            <w:fldChar w:fldCharType="separate"/>
          </w:r>
          <w:r>
            <w:rPr>
              <w:color w:val="auto"/>
            </w:rPr>
            <w:t>15</w:t>
          </w:r>
          <w:r>
            <w:rPr>
              <w:rFonts w:hint="eastAsia"/>
              <w:color w:val="auto"/>
            </w:rPr>
            <w:fldChar w:fldCharType="end"/>
          </w:r>
          <w:r>
            <w:rPr>
              <w:rFonts w:hint="eastAsia"/>
              <w:color w:val="auto"/>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"_Toc239324141" </w:instrText>
          </w:r>
          <w:r>
            <w:fldChar w:fldCharType="separate"/>
          </w:r>
          <w:r>
            <w:rPr>
              <w:rStyle w:val="35"/>
              <w:rFonts w:ascii="仿宋" w:hAnsi="仿宋" w:eastAsia="仿宋"/>
            </w:rPr>
            <w:t>韩国汉城大学</w:t>
          </w:r>
          <w:r>
            <w:rPr>
              <w:rFonts w:hint="eastAsia"/>
            </w:rPr>
            <w:tab/>
          </w:r>
          <w:r>
            <w:rPr>
              <w:rFonts w:hint="eastAsia"/>
            </w:rPr>
            <w:fldChar w:fldCharType="begin"/>
          </w:r>
          <w:r>
            <w:rPr>
              <w:rFonts w:hint="eastAsia"/>
            </w:rPr>
            <w:instrText xml:space="preserve"> </w:instrText>
          </w:r>
          <w:r>
            <w:instrText xml:space="preserve">PAGEREF _Toc239324141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"_Toc239324142" </w:instrText>
          </w:r>
          <w:r>
            <w:fldChar w:fldCharType="separate"/>
          </w:r>
          <w:r>
            <w:rPr>
              <w:rStyle w:val="35"/>
              <w:rFonts w:ascii="仿宋" w:hAnsi="仿宋" w:eastAsia="仿宋"/>
            </w:rPr>
            <w:t>韩国韩巴大学</w:t>
          </w:r>
          <w:r>
            <w:rPr>
              <w:rFonts w:hint="eastAsia"/>
            </w:rPr>
            <w:tab/>
          </w:r>
          <w:r>
            <w:rPr>
              <w:rFonts w:hint="eastAsia"/>
            </w:rPr>
            <w:fldChar w:fldCharType="begin"/>
          </w:r>
          <w:r>
            <w:rPr>
              <w:rFonts w:hint="eastAsia"/>
            </w:rPr>
            <w:instrText xml:space="preserve"> </w:instrText>
          </w:r>
          <w:r>
            <w:instrText xml:space="preserve">PAGEREF _Toc239324142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17"/>
            <w:tabs>
              <w:tab w:val="right" w:leader="dot" w:pos="8296"/>
            </w:tabs>
            <w:rPr>
              <w:rFonts w:hint="eastAsia"/>
              <w:b w:val="0"/>
              <w:bCs w:val="0"/>
              <w:i w:val="0"/>
              <w:iCs w:val="0"/>
              <w:sz w:val="22"/>
              <w14:ligatures w14:val="standardContextual"/>
            </w:rPr>
          </w:pPr>
          <w:r>
            <w:fldChar w:fldCharType="begin"/>
          </w:r>
          <w:r>
            <w:instrText xml:space="preserve"> HYPERLINK \l "_Toc239324143" </w:instrText>
          </w:r>
          <w:r>
            <w:fldChar w:fldCharType="separate"/>
          </w:r>
          <w:r>
            <w:rPr>
              <w:rStyle w:val="35"/>
              <w:rFonts w:ascii="仿宋" w:hAnsi="仿宋" w:eastAsia="仿宋"/>
            </w:rPr>
            <w:t>自费项目</w:t>
          </w:r>
          <w:r>
            <w:rPr>
              <w:rFonts w:hint="eastAsia"/>
            </w:rPr>
            <w:tab/>
          </w:r>
          <w:r>
            <w:rPr>
              <w:rFonts w:hint="eastAsia"/>
            </w:rPr>
            <w:fldChar w:fldCharType="begin"/>
          </w:r>
          <w:r>
            <w:rPr>
              <w:rFonts w:hint="eastAsia"/>
            </w:rPr>
            <w:instrText xml:space="preserve"> </w:instrText>
          </w:r>
          <w:r>
            <w:instrText xml:space="preserve">PAGEREF _Toc239324143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"_Toc239324144" </w:instrText>
          </w:r>
          <w:r>
            <w:fldChar w:fldCharType="separate"/>
          </w:r>
          <w:r>
            <w:rPr>
              <w:rStyle w:val="35"/>
              <w:rFonts w:ascii="仿宋" w:hAnsi="仿宋" w:eastAsia="仿宋"/>
            </w:rPr>
            <w:t>捷克技术大学</w:t>
          </w:r>
          <w:r>
            <w:rPr>
              <w:rFonts w:hint="eastAsia"/>
            </w:rPr>
            <w:tab/>
          </w:r>
          <w:r>
            <w:rPr>
              <w:rFonts w:hint="eastAsia"/>
            </w:rPr>
            <w:fldChar w:fldCharType="begin"/>
          </w:r>
          <w:r>
            <w:rPr>
              <w:rFonts w:hint="eastAsia"/>
            </w:rPr>
            <w:instrText xml:space="preserve"> </w:instrText>
          </w:r>
          <w:r>
            <w:instrText xml:space="preserve">PAGEREF _Toc239324144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"_Toc239324145" </w:instrText>
          </w:r>
          <w:r>
            <w:fldChar w:fldCharType="separate"/>
          </w:r>
          <w:r>
            <w:rPr>
              <w:rStyle w:val="35"/>
              <w:rFonts w:ascii="仿宋" w:hAnsi="仿宋" w:eastAsia="仿宋"/>
            </w:rPr>
            <w:t>英国利物浦大学</w:t>
          </w:r>
          <w:r>
            <w:rPr>
              <w:rFonts w:hint="eastAsia"/>
            </w:rPr>
            <w:tab/>
          </w:r>
          <w:r>
            <w:rPr>
              <w:rFonts w:hint="eastAsia"/>
            </w:rPr>
            <w:fldChar w:fldCharType="begin"/>
          </w:r>
          <w:r>
            <w:rPr>
              <w:rFonts w:hint="eastAsia"/>
            </w:rPr>
            <w:instrText xml:space="preserve"> </w:instrText>
          </w:r>
          <w:r>
            <w:instrText xml:space="preserve">PAGEREF _Toc239324145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"_Toc239324146" </w:instrText>
          </w:r>
          <w:r>
            <w:fldChar w:fldCharType="separate"/>
          </w:r>
          <w:r>
            <w:rPr>
              <w:rStyle w:val="35"/>
              <w:rFonts w:ascii="仿宋" w:hAnsi="仿宋" w:eastAsia="仿宋"/>
            </w:rPr>
            <w:t>美国普渡大学西北校区</w:t>
          </w:r>
          <w:r>
            <w:rPr>
              <w:rFonts w:hint="eastAsia"/>
            </w:rPr>
            <w:tab/>
          </w:r>
          <w:r>
            <w:rPr>
              <w:rFonts w:hint="eastAsia"/>
            </w:rPr>
            <w:fldChar w:fldCharType="begin"/>
          </w:r>
          <w:r>
            <w:rPr>
              <w:rFonts w:hint="eastAsia"/>
            </w:rPr>
            <w:instrText xml:space="preserve"> </w:instrText>
          </w:r>
          <w:r>
            <w:instrText xml:space="preserve">PAGEREF _Toc239324146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"_Toc239324147" </w:instrText>
          </w:r>
          <w:r>
            <w:fldChar w:fldCharType="separate"/>
          </w:r>
          <w:r>
            <w:rPr>
              <w:rStyle w:val="35"/>
              <w:rFonts w:ascii="仿宋" w:hAnsi="仿宋" w:eastAsia="仿宋"/>
            </w:rPr>
            <w:t>美国加州大学河滨分校</w:t>
          </w:r>
          <w:r>
            <w:rPr>
              <w:rFonts w:hint="eastAsia"/>
            </w:rPr>
            <w:tab/>
          </w:r>
          <w:r>
            <w:rPr>
              <w:rFonts w:hint="eastAsia"/>
            </w:rPr>
            <w:fldChar w:fldCharType="begin"/>
          </w:r>
          <w:r>
            <w:rPr>
              <w:rFonts w:hint="eastAsia"/>
            </w:rPr>
            <w:instrText xml:space="preserve"> </w:instrText>
          </w:r>
          <w:r>
            <w:instrText xml:space="preserve">PAGEREF _Toc239324147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"_Toc239324148" </w:instrText>
          </w:r>
          <w:r>
            <w:fldChar w:fldCharType="separate"/>
          </w:r>
          <w:r>
            <w:rPr>
              <w:rStyle w:val="35"/>
              <w:rFonts w:ascii="仿宋" w:hAnsi="仿宋" w:eastAsia="仿宋"/>
            </w:rPr>
            <w:t>澳大利亚昆士兰大学</w:t>
          </w:r>
          <w:r>
            <w:rPr>
              <w:rFonts w:hint="eastAsia"/>
            </w:rPr>
            <w:tab/>
          </w:r>
          <w:r>
            <w:rPr>
              <w:rFonts w:hint="eastAsia"/>
            </w:rPr>
            <w:fldChar w:fldCharType="begin"/>
          </w:r>
          <w:r>
            <w:rPr>
              <w:rFonts w:hint="eastAsia"/>
            </w:rPr>
            <w:instrText xml:space="preserve"> </w:instrText>
          </w:r>
          <w:r>
            <w:instrText xml:space="preserve">PAGEREF _Toc239324148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"_Toc239324149" </w:instrText>
          </w:r>
          <w:r>
            <w:fldChar w:fldCharType="separate"/>
          </w:r>
          <w:r>
            <w:rPr>
              <w:rStyle w:val="35"/>
              <w:rFonts w:ascii="仿宋" w:hAnsi="仿宋" w:eastAsia="仿宋"/>
            </w:rPr>
            <w:t>澳大利亚新南威尔士大学</w:t>
          </w:r>
          <w:r>
            <w:rPr>
              <w:rFonts w:hint="eastAsia"/>
            </w:rPr>
            <w:tab/>
          </w:r>
          <w:r>
            <w:rPr>
              <w:rFonts w:hint="eastAsia"/>
            </w:rPr>
            <w:fldChar w:fldCharType="begin"/>
          </w:r>
          <w:r>
            <w:rPr>
              <w:rFonts w:hint="eastAsia"/>
            </w:rPr>
            <w:instrText xml:space="preserve"> </w:instrText>
          </w:r>
          <w:r>
            <w:instrText xml:space="preserve">PAGEREF _Toc239324149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"_Toc239324150" </w:instrText>
          </w:r>
          <w:r>
            <w:fldChar w:fldCharType="separate"/>
          </w:r>
          <w:r>
            <w:rPr>
              <w:rStyle w:val="35"/>
              <w:rFonts w:ascii="仿宋" w:hAnsi="仿宋" w:eastAsia="仿宋"/>
            </w:rPr>
            <w:t>澳大利亚纽卡斯尔大学</w:t>
          </w:r>
          <w:r>
            <w:rPr>
              <w:rFonts w:hint="eastAsia"/>
            </w:rPr>
            <w:tab/>
          </w:r>
          <w:r>
            <w:rPr>
              <w:rFonts w:hint="eastAsia"/>
            </w:rPr>
            <w:fldChar w:fldCharType="begin"/>
          </w:r>
          <w:r>
            <w:rPr>
              <w:rFonts w:hint="eastAsia"/>
            </w:rPr>
            <w:instrText xml:space="preserve"> </w:instrText>
          </w:r>
          <w:r>
            <w:instrText xml:space="preserve">PAGEREF _Toc239324150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"_Toc239324151" </w:instrText>
          </w:r>
          <w:r>
            <w:fldChar w:fldCharType="separate"/>
          </w:r>
          <w:r>
            <w:rPr>
              <w:rStyle w:val="35"/>
              <w:rFonts w:ascii="仿宋" w:hAnsi="仿宋" w:eastAsia="仿宋"/>
            </w:rPr>
            <w:t>澳大利亚昆士兰科技大学</w:t>
          </w:r>
          <w:r>
            <w:rPr>
              <w:rFonts w:hint="eastAsia"/>
            </w:rPr>
            <w:tab/>
          </w:r>
          <w:r>
            <w:rPr>
              <w:rFonts w:hint="eastAsia"/>
            </w:rPr>
            <w:fldChar w:fldCharType="begin"/>
          </w:r>
          <w:r>
            <w:rPr>
              <w:rFonts w:hint="eastAsia"/>
            </w:rPr>
            <w:instrText xml:space="preserve"> </w:instrText>
          </w:r>
          <w:r>
            <w:instrText xml:space="preserve">PAGEREF _Toc239324151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"_Toc239324152" </w:instrText>
          </w:r>
          <w:r>
            <w:fldChar w:fldCharType="separate"/>
          </w:r>
          <w:r>
            <w:rPr>
              <w:rStyle w:val="35"/>
              <w:rFonts w:ascii="仿宋" w:hAnsi="仿宋" w:eastAsia="仿宋"/>
            </w:rPr>
            <w:t>韩国延世大学</w:t>
          </w:r>
          <w:r>
            <w:rPr>
              <w:rFonts w:hint="eastAsia"/>
            </w:rPr>
            <w:tab/>
          </w:r>
          <w:r>
            <w:rPr>
              <w:rFonts w:hint="eastAsia"/>
            </w:rPr>
            <w:fldChar w:fldCharType="begin"/>
          </w:r>
          <w:r>
            <w:rPr>
              <w:rFonts w:hint="eastAsia"/>
            </w:rPr>
            <w:instrText xml:space="preserve"> </w:instrText>
          </w:r>
          <w:r>
            <w:instrText xml:space="preserve">PAGEREF _Toc239324152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pPr>
            <w:pStyle w:val="11"/>
            <w:tabs>
              <w:tab w:val="right" w:leader="dot" w:pos="8296"/>
            </w:tabs>
            <w:rPr>
              <w:rFonts w:hint="eastAsia"/>
              <w:sz w:val="22"/>
              <w:szCs w:val="24"/>
              <w14:ligatures w14:val="standardContextual"/>
            </w:rPr>
          </w:pPr>
          <w:r>
            <w:fldChar w:fldCharType="begin"/>
          </w:r>
          <w:r>
            <w:instrText xml:space="preserve"> HYPERLINK \l "_Toc239324153" </w:instrText>
          </w:r>
          <w:r>
            <w:fldChar w:fldCharType="separate"/>
          </w:r>
          <w:r>
            <w:rPr>
              <w:rStyle w:val="35"/>
              <w:rFonts w:ascii="仿宋" w:hAnsi="仿宋" w:eastAsia="仿宋"/>
            </w:rPr>
            <w:t>韩国崇实大学</w:t>
          </w:r>
          <w:r>
            <w:rPr>
              <w:rFonts w:hint="eastAsia"/>
            </w:rPr>
            <w:tab/>
          </w:r>
          <w:r>
            <w:rPr>
              <w:rFonts w:hint="eastAsia"/>
            </w:rPr>
            <w:fldChar w:fldCharType="begin"/>
          </w:r>
          <w:r>
            <w:rPr>
              <w:rFonts w:hint="eastAsia"/>
            </w:rPr>
            <w:instrText xml:space="preserve"> </w:instrText>
          </w:r>
          <w:r>
            <w:instrText xml:space="preserve">PAGEREF _Toc239324153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r>
            <w:rPr>
              <w:b/>
              <w:bCs/>
              <w:lang w:val="zh-CN"/>
            </w:rPr>
            <w:fldChar w:fldCharType="end"/>
          </w:r>
        </w:p>
      </w:sdtContent>
    </w:sdt>
    <w:p>
      <w:pPr>
        <w:pStyle w:val="29"/>
      </w:pPr>
    </w:p>
    <w:p>
      <w:pPr>
        <w:pStyle w:val="29"/>
      </w:pPr>
    </w:p>
    <w:p>
      <w:pPr>
        <w:pStyle w:val="29"/>
      </w:pPr>
    </w:p>
    <w:p>
      <w:pPr>
        <w:pStyle w:val="29"/>
        <w:rPr>
          <w:rFonts w:hint="eastAsia" w:ascii="仿宋" w:hAnsi="仿宋" w:eastAsia="仿宋"/>
          <w:color w:val="404040" w:themeColor="text1" w:themeTint="BF"/>
          <w:sz w:val="36"/>
          <w:szCs w:val="36"/>
          <w14:textFill>
            <w14:solidFill>
              <w14:schemeClr w14:val="tx1">
                <w14:lumMod w14:val="75000"/>
                <w14:lumOff w14:val="25000"/>
              </w14:schemeClr>
            </w14:solidFill>
          </w14:textFill>
        </w:rPr>
      </w:pPr>
      <w:bookmarkStart w:id="1" w:name="_Toc239324126"/>
      <w:r>
        <w:rPr>
          <w:rFonts w:hint="eastAsia"/>
        </w:rPr>
        <w:t>免学费项目</w:t>
      </w:r>
      <w:bookmarkEnd w:id="0"/>
      <w:bookmarkEnd w:id="1"/>
    </w:p>
    <w:p>
      <w:pPr>
        <w:pStyle w:val="4"/>
        <w:jc w:val="center"/>
        <w:rPr>
          <w:rFonts w:hint="eastAsia" w:ascii="仿宋" w:hAnsi="仿宋" w:eastAsia="仿宋"/>
          <w:sz w:val="36"/>
          <w:szCs w:val="36"/>
        </w:rPr>
      </w:pPr>
      <w:bookmarkStart w:id="2" w:name="_Toc5281"/>
      <w:bookmarkStart w:id="3" w:name="_Toc239324127"/>
      <w:r>
        <w:rPr>
          <w:rFonts w:hint="eastAsia" w:ascii="仿宋" w:hAnsi="仿宋" w:eastAsia="仿宋"/>
          <w:sz w:val="36"/>
          <w:szCs w:val="36"/>
        </w:rPr>
        <w:t>意大利比萨大学</w:t>
      </w:r>
      <w:bookmarkEnd w:id="2"/>
      <w:bookmarkEnd w:id="3"/>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能源动力与机械工程学院</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申请时为大二或大三全日制在读本科生（建议大三学生申请，大四派出）</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5人1学期或10人1学年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免交学费，需自行支付生活费、交通费、食宿费、书本费</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（1) 热爱祖国，具有良好的政治思想素质，在校期间无违法违纪记录；</w:t>
            </w:r>
          </w:p>
          <w:p>
            <w:pPr>
              <w:pStyle w:val="27"/>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（2) 身心健康，无不适合在外学习的疾病史；</w:t>
            </w:r>
          </w:p>
          <w:p>
            <w:pPr>
              <w:pStyle w:val="27"/>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（3) 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（4) 外语水平优秀者优先。</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比萨大学，欧洲的著名学府，是一所学术与研究极其出色的大学，在世界上享有盛誉。官方宣称的创建时间为1343年9月3日，但是其历史可上溯到11世纪。比萨大学是大学研究协会(URA)唯一意大利成员;比萨大学是精英化教育体制，拥有比萨高师及比萨圣安娜高等学院，三校师资共享，教学质量有很高保障;并且是欧洲唯一一所进入“大学研究学会”的科研型大学。比萨大学拥有伽利略这样的科学巨匠，且在其著名的毕业生中，有几位国内外政治领袖，包括两位意大利总统，五位教皇，五位意大利总理和三位诺贝尔奖获得者。</w:t>
            </w:r>
          </w:p>
        </w:tc>
      </w:tr>
      <w:tr>
        <w:trPr>
          <w:trHeight w:val="671" w:hRule="atLeast"/>
        </w:trPr>
        <w:tc>
          <w:tcPr>
            <w:tcW w:w="1985" w:type="dxa"/>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Pr>
        <w:pStyle w:val="4"/>
        <w:jc w:val="center"/>
        <w:rPr>
          <w:rFonts w:hint="eastAsia" w:ascii="仿宋" w:hAnsi="仿宋" w:eastAsia="仿宋"/>
          <w:sz w:val="36"/>
          <w:szCs w:val="36"/>
        </w:rPr>
      </w:pPr>
      <w:bookmarkStart w:id="4" w:name="_Toc32106"/>
      <w:bookmarkStart w:id="5" w:name="_Toc239324128"/>
      <w:r>
        <w:rPr>
          <w:rFonts w:hint="eastAsia" w:ascii="仿宋" w:hAnsi="仿宋" w:eastAsia="仿宋"/>
          <w:sz w:val="36"/>
          <w:szCs w:val="36"/>
        </w:rPr>
        <w:t>德国柏林自由大学</w:t>
      </w:r>
      <w:bookmarkEnd w:id="4"/>
      <w:bookmarkEnd w:id="5"/>
    </w:p>
    <w:tbl>
      <w:tblPr>
        <w:tblStyle w:val="31"/>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525"/>
      </w:tblGrid>
      <w:tr>
        <w:trPr>
          <w:trHeight w:val="507"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选拔优秀本科生赴德国柏林自由大学进行学习，回校后进行学分互认转换。</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数理</w:t>
            </w:r>
            <w:r>
              <w:rPr>
                <w:rFonts w:hint="eastAsia" w:ascii="仿宋" w:hAnsi="仿宋" w:eastAsia="仿宋" w:cs="宋体"/>
              </w:rPr>
              <w:t>学院</w:t>
            </w:r>
            <w:r>
              <w:rPr>
                <w:rFonts w:ascii="仿宋" w:hAnsi="仿宋" w:eastAsia="仿宋" w:cs="宋体"/>
              </w:rPr>
              <w:t>-</w:t>
            </w:r>
            <w:r>
              <w:rPr>
                <w:rFonts w:hint="eastAsia" w:ascii="仿宋" w:hAnsi="仿宋" w:eastAsia="仿宋" w:cs="宋体"/>
                <w:lang w:eastAsia="zh-Hans"/>
              </w:rPr>
              <w:t>物理专业</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2人</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25" w:type="dxa"/>
            <w:tcBorders>
              <w:top w:val="single" w:color="auto" w:sz="4" w:space="0"/>
              <w:left w:val="single" w:color="auto" w:sz="4" w:space="0"/>
              <w:bottom w:val="single" w:color="auto" w:sz="4" w:space="0"/>
              <w:right w:val="single" w:color="auto" w:sz="4" w:space="0"/>
            </w:tcBorders>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（4）较强的英语沟通能力（选择德文授课达到欧盟要求</w:t>
            </w:r>
            <w:r>
              <w:rPr>
                <w:rFonts w:ascii="仿宋" w:hAnsi="仿宋" w:eastAsia="仿宋" w:cs="宋体"/>
                <w:color w:val="000000" w:themeColor="text1"/>
                <w:shd w:val="clear" w:color="auto" w:fill="FFFFFF"/>
                <w14:textFill>
                  <w14:solidFill>
                    <w14:schemeClr w14:val="tx1"/>
                  </w14:solidFill>
                </w14:textFill>
              </w:rPr>
              <w:t>B2</w:t>
            </w:r>
            <w:r>
              <w:rPr>
                <w:rFonts w:hint="eastAsia" w:ascii="仿宋" w:hAnsi="仿宋" w:eastAsia="仿宋" w:cs="宋体"/>
                <w:color w:val="000000" w:themeColor="text1"/>
                <w:shd w:val="clear" w:color="auto" w:fill="FFFFFF"/>
                <w14:textFill>
                  <w14:solidFill>
                    <w14:schemeClr w14:val="tx1"/>
                  </w14:solidFill>
                </w14:textFill>
              </w:rPr>
              <w:t>级以上水平，选择英文授课英语需达到欧盟要求</w:t>
            </w:r>
            <w:r>
              <w:rPr>
                <w:rFonts w:ascii="仿宋" w:hAnsi="仿宋" w:eastAsia="仿宋" w:cs="宋体"/>
                <w:color w:val="000000" w:themeColor="text1"/>
                <w:shd w:val="clear" w:color="auto" w:fill="FFFFFF"/>
                <w14:textFill>
                  <w14:solidFill>
                    <w14:schemeClr w14:val="tx1"/>
                  </w14:solidFill>
                </w14:textFill>
              </w:rPr>
              <w:t>B</w:t>
            </w:r>
            <w:r>
              <w:rPr>
                <w:rFonts w:hint="eastAsia" w:ascii="仿宋" w:hAnsi="仿宋" w:eastAsia="仿宋" w:cs="宋体"/>
                <w:color w:val="000000" w:themeColor="text1"/>
                <w:shd w:val="clear" w:color="auto" w:fill="FFFFFF"/>
                <w14:textFill>
                  <w14:solidFill>
                    <w14:schemeClr w14:val="tx1"/>
                  </w14:solidFill>
                </w14:textFill>
              </w:rPr>
              <w:t>1以上水平）</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25" w:type="dxa"/>
            <w:tcBorders>
              <w:top w:val="single" w:color="auto" w:sz="4" w:space="0"/>
              <w:left w:val="single" w:color="auto" w:sz="4" w:space="0"/>
              <w:bottom w:val="single" w:color="auto" w:sz="4" w:space="0"/>
              <w:right w:val="single" w:color="auto" w:sz="4" w:space="0"/>
            </w:tcBorders>
          </w:tcPr>
          <w:p>
            <w:pPr>
              <w:pStyle w:val="27"/>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柏林自由大学（德文：Freie Universit</w:t>
            </w:r>
            <w:r>
              <w:rPr>
                <w:rFonts w:ascii="Calibri" w:hAnsi="Calibri" w:eastAsia="仿宋" w:cs="Calibri"/>
                <w:color w:val="000000" w:themeColor="text1"/>
                <w14:textFill>
                  <w14:solidFill>
                    <w14:schemeClr w14:val="tx1"/>
                  </w14:solidFill>
                </w14:textFill>
              </w:rPr>
              <w:t>ä</w:t>
            </w:r>
            <w:r>
              <w:rPr>
                <w:rFonts w:hint="eastAsia" w:ascii="仿宋" w:hAnsi="仿宋" w:eastAsia="仿宋" w:cs="宋体"/>
                <w:color w:val="000000" w:themeColor="text1"/>
                <w14:textFill>
                  <w14:solidFill>
                    <w14:schemeClr w14:val="tx1"/>
                  </w14:solidFill>
                </w14:textFill>
              </w:rPr>
              <w:t>t Berlin）创建于1948年，前身为柏林大学，主校址位于柏林Dahlem，是德国首都规模最大的文理科综合性大学，也是欧洲大陆乃至世界的著名高校之一。柏林自由大学位列2020年QS世界大学排名第130位，2020年THE世界大学排名第117位，2019年USNews世界大学排名第116位</w:t>
            </w:r>
          </w:p>
        </w:tc>
      </w:tr>
      <w:tr>
        <w:trPr>
          <w:trHeight w:val="2489" w:hRule="atLeast"/>
        </w:trPr>
        <w:tc>
          <w:tcPr>
            <w:tcW w:w="1980" w:type="dxa"/>
            <w:tcBorders>
              <w:top w:val="single" w:color="auto" w:sz="4" w:space="0"/>
              <w:left w:val="single" w:color="auto" w:sz="4" w:space="0"/>
              <w:bottom w:val="single" w:color="auto" w:sz="4" w:space="0"/>
              <w:right w:val="single" w:color="auto" w:sz="4" w:space="0"/>
            </w:tcBorders>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2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rPr>
          <w:rFonts w:hint="eastAsia" w:ascii="仿宋" w:hAnsi="仿宋" w:eastAsia="仿宋"/>
          <w:color w:val="404040" w:themeColor="text1" w:themeTint="BF"/>
          <w:sz w:val="36"/>
          <w:szCs w:val="36"/>
          <w14:textFill>
            <w14:solidFill>
              <w14:schemeClr w14:val="tx1">
                <w14:lumMod w14:val="75000"/>
                <w14:lumOff w14:val="25000"/>
              </w14:schemeClr>
            </w14:solidFill>
          </w14:textFill>
        </w:rPr>
      </w:pPr>
    </w:p>
    <w:p>
      <w:pPr>
        <w:rPr>
          <w:rFonts w:hint="eastAsia" w:ascii="仿宋" w:hAnsi="仿宋" w:eastAsia="仿宋"/>
          <w:color w:val="404040" w:themeColor="text1" w:themeTint="BF"/>
          <w:sz w:val="36"/>
          <w:szCs w:val="36"/>
          <w14:textFill>
            <w14:solidFill>
              <w14:schemeClr w14:val="tx1">
                <w14:lumMod w14:val="75000"/>
                <w14:lumOff w14:val="25000"/>
              </w14:schemeClr>
            </w14:solidFill>
          </w14:textFill>
        </w:rPr>
      </w:pPr>
    </w:p>
    <w:p>
      <w:pPr>
        <w:pStyle w:val="4"/>
        <w:jc w:val="center"/>
        <w:rPr>
          <w:rFonts w:hint="eastAsia" w:ascii="仿宋" w:hAnsi="仿宋" w:eastAsia="仿宋"/>
          <w:sz w:val="36"/>
          <w:szCs w:val="36"/>
        </w:rPr>
      </w:pPr>
      <w:bookmarkStart w:id="6" w:name="_Toc23380"/>
      <w:bookmarkStart w:id="7" w:name="_Toc239324129"/>
      <w:r>
        <w:rPr>
          <w:rFonts w:hint="eastAsia" w:ascii="仿宋" w:hAnsi="仿宋" w:eastAsia="仿宋"/>
          <w:sz w:val="36"/>
          <w:szCs w:val="36"/>
        </w:rPr>
        <w:t>德国勃兰登堡工业大学</w:t>
      </w:r>
      <w:bookmarkEnd w:id="6"/>
      <w:bookmarkEnd w:id="7"/>
    </w:p>
    <w:tbl>
      <w:tblPr>
        <w:tblStyle w:val="31"/>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525"/>
      </w:tblGrid>
      <w:tr>
        <w:trPr>
          <w:trHeight w:val="507"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选拔优秀本科生赴勃兰登堡工业大学进行学习，学习为期一年，其中成绩优异的同学可继续攻读硕士。</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电气与电子工程学院，</w:t>
            </w:r>
            <w:r>
              <w:rPr>
                <w:rFonts w:ascii="仿宋" w:hAnsi="仿宋" w:eastAsia="仿宋" w:cs="宋体"/>
                <w:color w:val="000000" w:themeColor="text1"/>
                <w14:textFill>
                  <w14:solidFill>
                    <w14:schemeClr w14:val="tx1"/>
                  </w14:solidFill>
                </w14:textFill>
              </w:rPr>
              <w:t>能源与动力工程学院</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申请时为大三全日制在读本科生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1学年</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成绩优异</w:t>
            </w:r>
            <w:r>
              <w:rPr>
                <w:rFonts w:ascii="仿宋" w:hAnsi="仿宋" w:eastAsia="仿宋" w:cs="宋体"/>
                <w:color w:val="000000" w:themeColor="text1"/>
                <w14:textFill>
                  <w14:solidFill>
                    <w14:schemeClr w14:val="tx1"/>
                  </w14:solidFill>
                </w14:textFill>
              </w:rPr>
              <w:t>同学可选择</w:t>
            </w:r>
            <w:r>
              <w:rPr>
                <w:rFonts w:hint="eastAsia" w:ascii="仿宋" w:hAnsi="仿宋" w:eastAsia="仿宋" w:cs="宋体"/>
                <w:color w:val="000000" w:themeColor="text1"/>
                <w14:textFill>
                  <w14:solidFill>
                    <w14:schemeClr w14:val="tx1"/>
                  </w14:solidFill>
                </w14:textFill>
              </w:rPr>
              <w:t>交换后“3</w:t>
            </w:r>
            <w:r>
              <w:rPr>
                <w:rFonts w:ascii="仿宋" w:hAnsi="仿宋" w:eastAsia="仿宋" w:cs="宋体"/>
                <w:color w:val="000000" w:themeColor="text1"/>
                <w14:textFill>
                  <w14:solidFill>
                    <w14:schemeClr w14:val="tx1"/>
                  </w14:solidFill>
                </w14:textFill>
              </w:rPr>
              <w:t>+1+1</w:t>
            </w:r>
            <w:r>
              <w:rPr>
                <w:rFonts w:hint="eastAsia" w:ascii="仿宋" w:hAnsi="仿宋" w:eastAsia="仿宋" w:cs="宋体"/>
                <w:color w:val="000000" w:themeColor="text1"/>
                <w14:textFill>
                  <w14:solidFill>
                    <w14:schemeClr w14:val="tx1"/>
                  </w14:solidFill>
                </w14:textFill>
              </w:rPr>
              <w:t>”</w:t>
            </w:r>
            <w:r>
              <w:rPr>
                <w:rFonts w:ascii="仿宋" w:hAnsi="仿宋" w:eastAsia="仿宋" w:cs="宋体"/>
                <w:color w:val="000000" w:themeColor="text1"/>
                <w14:textFill>
                  <w14:solidFill>
                    <w14:schemeClr w14:val="tx1"/>
                  </w14:solidFill>
                </w14:textFill>
              </w:rPr>
              <w:t>留德继续攻读硕士</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免学费、交注册费约270欧元/学期，其他费用由学生自理</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25" w:type="dxa"/>
            <w:tcBorders>
              <w:top w:val="single" w:color="auto" w:sz="4" w:space="0"/>
              <w:left w:val="single" w:color="auto" w:sz="4" w:space="0"/>
              <w:bottom w:val="single" w:color="auto" w:sz="4" w:space="0"/>
              <w:right w:val="single" w:color="auto" w:sz="4" w:space="0"/>
            </w:tcBorders>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（4）较强的英语沟通能力（雅思不低于6，托福不低于79或通过对方面试）；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（5）需通过德国学校教师的AP</w:t>
            </w:r>
            <w:r>
              <w:rPr>
                <w:rFonts w:ascii="仿宋" w:hAnsi="仿宋" w:eastAsia="仿宋" w:cs="宋体"/>
                <w:color w:val="000000" w:themeColor="text1"/>
                <w:shd w:val="clear" w:color="auto" w:fill="FFFFFF"/>
                <w14:textFill>
                  <w14:solidFill>
                    <w14:schemeClr w14:val="tx1"/>
                  </w14:solidFill>
                </w14:textFill>
              </w:rPr>
              <w:t>S</w:t>
            </w:r>
            <w:r>
              <w:rPr>
                <w:rFonts w:hint="eastAsia" w:ascii="仿宋" w:hAnsi="仿宋" w:eastAsia="仿宋" w:cs="宋体"/>
                <w:color w:val="000000" w:themeColor="text1"/>
                <w:shd w:val="clear" w:color="auto" w:fill="FFFFFF"/>
                <w14:textFill>
                  <w14:solidFill>
                    <w14:schemeClr w14:val="tx1"/>
                  </w14:solidFill>
                </w14:textFill>
              </w:rPr>
              <w:t>考试（英语语言考试和申请材料审核）</w:t>
            </w:r>
            <w:r>
              <w:rPr>
                <w:rFonts w:ascii="仿宋" w:hAnsi="仿宋" w:eastAsia="仿宋" w:cs="宋体"/>
                <w:color w:val="000000" w:themeColor="text1"/>
                <w:shd w:val="clear" w:color="auto" w:fill="FFFFFF"/>
                <w14:textFill>
                  <w14:solidFill>
                    <w14:schemeClr w14:val="tx1"/>
                  </w14:solidFill>
                </w14:textFill>
              </w:rPr>
              <w:t>,</w:t>
            </w:r>
            <w:r>
              <w:rPr>
                <w:rFonts w:hint="eastAsia" w:ascii="仿宋" w:hAnsi="仿宋" w:eastAsia="仿宋" w:cs="宋体"/>
                <w:color w:val="000000" w:themeColor="text1"/>
                <w:shd w:val="clear" w:color="auto" w:fill="FFFFFF"/>
                <w14:textFill>
                  <w14:solidFill>
                    <w14:schemeClr w14:val="tx1"/>
                  </w14:solidFill>
                </w14:textFill>
              </w:rPr>
              <w:t>我校为报名成功的同学集中组织面试。</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25" w:type="dxa"/>
            <w:tcBorders>
              <w:top w:val="single" w:color="auto" w:sz="4" w:space="0"/>
              <w:left w:val="single" w:color="auto" w:sz="4" w:space="0"/>
              <w:bottom w:val="single" w:color="auto" w:sz="4" w:space="0"/>
              <w:right w:val="single" w:color="auto" w:sz="4" w:space="0"/>
            </w:tcBorders>
          </w:tcPr>
          <w:p>
            <w:pPr>
              <w:pStyle w:val="27"/>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勃兰登堡工业大学（简称BTU)是位于德国境内</w:t>
            </w:r>
            <w:r>
              <w:fldChar w:fldCharType="begin"/>
            </w:r>
            <w:r>
              <w:instrText xml:space="preserve">HYPERLINK "https://baike.baidu.com/item/%E5%8B%83%E5%85%B0%E7%99%BB%E5%A0%A1%E5%B7%9E/5446866" \t "_blank"</w:instrText>
            </w:r>
            <w:r>
              <w:fldChar w:fldCharType="separate"/>
            </w:r>
            <w:r>
              <w:rPr>
                <w:rStyle w:val="35"/>
                <w:rFonts w:hint="eastAsia" w:ascii="仿宋" w:hAnsi="仿宋" w:eastAsia="仿宋" w:cs="宋体"/>
                <w:color w:val="000000" w:themeColor="text1"/>
                <w14:textFill>
                  <w14:solidFill>
                    <w14:schemeClr w14:val="tx1"/>
                  </w14:solidFill>
                </w14:textFill>
              </w:rPr>
              <w:t>勃兰登堡州</w:t>
            </w:r>
            <w:r>
              <w:fldChar w:fldCharType="end"/>
            </w:r>
            <w:r>
              <w:fldChar w:fldCharType="begin"/>
            </w:r>
            <w:r>
              <w:instrText xml:space="preserve"> HYPERLINK "https://baike.baidu.com/item/%E7%A7%91%E7%89%B9%E5%B8%83%E6%96%AF%E5%B8%82/3720776" \t "_blank" </w:instrText>
            </w:r>
            <w:r>
              <w:fldChar w:fldCharType="separate"/>
            </w:r>
            <w:r>
              <w:rPr>
                <w:rStyle w:val="35"/>
                <w:rFonts w:hint="eastAsia" w:ascii="仿宋" w:hAnsi="仿宋" w:eastAsia="仿宋" w:cs="宋体"/>
                <w:color w:val="000000" w:themeColor="text1"/>
                <w14:textFill>
                  <w14:solidFill>
                    <w14:schemeClr w14:val="tx1"/>
                  </w14:solidFill>
                </w14:textFill>
              </w:rPr>
              <w:t>科特布斯市</w:t>
            </w:r>
            <w:r>
              <w:rPr>
                <w:rStyle w:val="35"/>
                <w:rFonts w:hint="eastAsia" w:ascii="仿宋" w:hAnsi="仿宋" w:eastAsia="仿宋" w:cs="宋体"/>
                <w:color w:val="000000" w:themeColor="text1"/>
                <w14:textFill>
                  <w14:solidFill>
                    <w14:schemeClr w14:val="tx1"/>
                  </w14:solidFill>
                </w14:textFill>
              </w:rPr>
              <w:fldChar w:fldCharType="end"/>
            </w:r>
            <w:r>
              <w:rPr>
                <w:rFonts w:hint="eastAsia" w:ascii="仿宋" w:hAnsi="仿宋" w:eastAsia="仿宋" w:cs="宋体"/>
                <w:color w:val="000000" w:themeColor="text1"/>
                <w14:textFill>
                  <w14:solidFill>
                    <w14:schemeClr w14:val="tx1"/>
                  </w14:solidFill>
                </w14:textFill>
              </w:rPr>
              <w:t>的一所工科性质的综合性大学。同时，该大学也是勃兰登堡州第一大重点工业大学且也是唯一的一所较大规模的大学。勃兰登堡工业大学是国际公认的，创新型的技术大学。重点专业为：环境、能源、材料、建筑、信息和通信技术。主要有四个学院：自然科学与计算机学院、建筑设计规划学院、机械电气工程学院、环境工程学院。</w:t>
            </w:r>
          </w:p>
        </w:tc>
      </w:tr>
      <w:tr>
        <w:trPr>
          <w:trHeight w:val="2521" w:hRule="atLeast"/>
        </w:trPr>
        <w:tc>
          <w:tcPr>
            <w:tcW w:w="1980" w:type="dxa"/>
            <w:tcBorders>
              <w:top w:val="single" w:color="auto" w:sz="4" w:space="0"/>
              <w:left w:val="single" w:color="auto" w:sz="4" w:space="0"/>
              <w:bottom w:val="single" w:color="auto" w:sz="4" w:space="0"/>
              <w:right w:val="single" w:color="auto" w:sz="4" w:space="0"/>
            </w:tcBorders>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2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p>
            <w:pPr>
              <w:rPr>
                <w:rFonts w:hint="eastAsia" w:ascii="仿宋" w:hAnsi="仿宋" w:eastAsia="仿宋" w:cs="宋体"/>
                <w:color w:val="000000" w:themeColor="text1"/>
                <w:sz w:val="24"/>
                <w14:textFill>
                  <w14:solidFill>
                    <w14:schemeClr w14:val="tx1"/>
                  </w14:solidFill>
                </w14:textFill>
              </w:rPr>
            </w:pP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bookmarkStart w:id="8" w:name="_Toc24344"/>
      <w:bookmarkStart w:id="9" w:name="_Toc239324130"/>
      <w:r>
        <w:rPr>
          <w:rFonts w:hint="eastAsia" w:ascii="仿宋" w:hAnsi="仿宋" w:eastAsia="仿宋"/>
          <w:sz w:val="36"/>
          <w:szCs w:val="36"/>
        </w:rPr>
        <w:t>巴西坎皮纳斯大学</w:t>
      </w:r>
      <w:bookmarkEnd w:id="8"/>
      <w:bookmarkEnd w:id="9"/>
    </w:p>
    <w:tbl>
      <w:tblPr>
        <w:tblStyle w:val="31"/>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525"/>
      </w:tblGrid>
      <w:tr>
        <w:trPr>
          <w:trHeight w:val="507"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B0F0"/>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B0F0"/>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宋体"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计算机科学、物理、数学、环境工程、电信工程、控制与自动化工程、电气工程、机械工程、化学工程、行政管理、公共管理等相关专业</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10人</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w:t>
            </w:r>
            <w:r>
              <w:rPr>
                <w:rFonts w:hint="eastAsia" w:ascii="仿宋" w:hAnsi="仿宋" w:eastAsia="仿宋" w:cs="宋体"/>
                <w:color w:val="000000" w:themeColor="text1"/>
                <w:lang w:eastAsia="zh-Hans"/>
                <w14:textFill>
                  <w14:solidFill>
                    <w14:schemeClr w14:val="tx1"/>
                  </w14:solidFill>
                </w14:textFill>
              </w:rPr>
              <w:t>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B0F0"/>
              </w:rPr>
            </w:pPr>
            <w:r>
              <w:rPr>
                <w:rFonts w:hint="eastAsia" w:ascii="仿宋" w:hAnsi="仿宋" w:eastAsia="仿宋" w:cs="宋体"/>
                <w:b/>
                <w:color w:val="000000" w:themeColor="text1"/>
                <w14:textFill>
                  <w14:solidFill>
                    <w14:schemeClr w14:val="tx1"/>
                  </w14:solidFill>
                </w14:textFill>
              </w:rPr>
              <w:t>申请条件</w:t>
            </w:r>
          </w:p>
        </w:tc>
        <w:tc>
          <w:tcPr>
            <w:tcW w:w="6525" w:type="dxa"/>
            <w:tcBorders>
              <w:top w:val="single" w:color="auto" w:sz="4" w:space="0"/>
              <w:left w:val="single" w:color="auto" w:sz="4" w:space="0"/>
              <w:bottom w:val="single" w:color="auto" w:sz="4" w:space="0"/>
              <w:right w:val="single" w:color="auto" w:sz="4" w:space="0"/>
            </w:tcBorders>
          </w:tcPr>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2.</w:t>
            </w:r>
            <w:r>
              <w:rPr>
                <w:rFonts w:hint="eastAsia" w:ascii="仿宋" w:hAnsi="仿宋" w:eastAsia="仿宋" w:cs="宋体"/>
                <w:color w:val="000000" w:themeColor="text1"/>
                <w:shd w:val="clear" w:color="auto" w:fill="FFFFFF"/>
                <w14:textFill>
                  <w14:solidFill>
                    <w14:schemeClr w14:val="tx1"/>
                  </w14:solidFill>
                </w14:textFill>
              </w:rPr>
              <w:t>身心健康，无不适合在外学习的疾病史；</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3.</w:t>
            </w:r>
            <w:r>
              <w:rPr>
                <w:rFonts w:hint="eastAsia" w:ascii="仿宋" w:hAnsi="仿宋" w:eastAsia="仿宋" w:cs="宋体"/>
                <w:color w:val="000000" w:themeColor="text1"/>
                <w:shd w:val="clear" w:color="auto" w:fill="FFFFFF"/>
                <w14:textFill>
                  <w14:solidFill>
                    <w14:schemeClr w14:val="tx1"/>
                  </w14:solidFill>
                </w14:textFill>
              </w:rPr>
              <w:t>品学兼优，学习成绩排名前列，综合表现突出，GPA不低于3.0；</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4.</w:t>
            </w:r>
            <w:r>
              <w:rPr>
                <w:rFonts w:hint="eastAsia" w:ascii="仿宋" w:hAnsi="仿宋" w:eastAsia="仿宋" w:cs="宋体"/>
                <w:color w:val="000000" w:themeColor="text1"/>
                <w:shd w:val="clear" w:color="auto" w:fill="FFFFFF"/>
                <w14:textFill>
                  <w14:solidFill>
                    <w14:schemeClr w14:val="tx1"/>
                  </w14:solidFill>
                </w14:textFill>
              </w:rPr>
              <w:t>有英语、西班牙语及葡萄牙语语言成绩者优先。</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lang w:val="en-US" w:eastAsia="zh-CN"/>
                <w14:textFill>
                  <w14:solidFill>
                    <w14:schemeClr w14:val="tx1"/>
                  </w14:solidFill>
                </w14:textFill>
              </w:rPr>
              <w:t>注：</w:t>
            </w:r>
            <w:r>
              <w:rPr>
                <w:rFonts w:hint="eastAsia" w:ascii="仿宋" w:hAnsi="仿宋" w:eastAsia="仿宋" w:cs="宋体"/>
                <w:color w:val="000000" w:themeColor="text1"/>
                <w:shd w:val="clear" w:color="auto" w:fill="FFFFFF"/>
                <w14:textFill>
                  <w14:solidFill>
                    <w14:schemeClr w14:val="tx1"/>
                  </w14:solidFill>
                </w14:textFill>
              </w:rPr>
              <w:t>课程在三个不同城市的四个不同校区开设（建议学生只在一个城市上课）</w:t>
            </w:r>
          </w:p>
          <w:p>
            <w:pPr>
              <w:pStyle w:val="27"/>
              <w:widowControl/>
              <w:shd w:val="clear" w:color="auto" w:fill="FFFFFF"/>
              <w:rPr>
                <w:rFonts w:hint="default" w:ascii="仿宋" w:hAnsi="仿宋" w:eastAsia="仿宋" w:cs="宋体"/>
                <w:color w:val="000000" w:themeColor="text1"/>
                <w:shd w:val="clear" w:color="auto" w:fill="FFFFFF"/>
                <w:lang w:val="en-US" w:eastAsia="zh-CN"/>
                <w14:textFill>
                  <w14:solidFill>
                    <w14:schemeClr w14:val="tx1"/>
                  </w14:solidFill>
                </w14:textFill>
              </w:rPr>
            </w:pPr>
            <w:r>
              <w:rPr>
                <w:rFonts w:hint="eastAsia" w:ascii="仿宋" w:hAnsi="仿宋" w:eastAsia="仿宋" w:cs="宋体"/>
                <w:color w:val="000000" w:themeColor="text1"/>
                <w:shd w:val="clear" w:color="auto" w:fill="FFFFFF"/>
                <w:lang w:val="en-US" w:eastAsia="zh-CN"/>
                <w14:textFill>
                  <w14:solidFill>
                    <w14:schemeClr w14:val="tx1"/>
                  </w14:solidFill>
                </w14:textFill>
              </w:rPr>
              <w:t>该项目多数课程为葡萄牙语授课。</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25" w:type="dxa"/>
            <w:tcBorders>
              <w:top w:val="single" w:color="auto" w:sz="4" w:space="0"/>
              <w:left w:val="single" w:color="auto" w:sz="4" w:space="0"/>
              <w:bottom w:val="single" w:color="auto" w:sz="4" w:space="0"/>
              <w:right w:val="single" w:color="auto" w:sz="4" w:space="0"/>
            </w:tcBorders>
          </w:tcPr>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坎皮纳斯大学创建于1966年，是拉丁美洲最好的大学之一。其在传统教育和科研方面为巴西社会做出了巨大贡献，在工程技术、健康科学、自然科学、人文科学和艺术领域都十分出众。该校本科生和研究生的比例各占</w:t>
            </w:r>
            <w:r>
              <w:rPr>
                <w:rFonts w:ascii="仿宋" w:hAnsi="仿宋" w:eastAsia="仿宋" w:cs="宋体"/>
                <w:color w:val="000000" w:themeColor="text1"/>
                <w:shd w:val="clear" w:color="auto" w:fill="FFFFFF"/>
                <w14:textFill>
                  <w14:solidFill>
                    <w14:schemeClr w14:val="tx1"/>
                  </w14:solidFill>
                </w14:textFill>
              </w:rPr>
              <w:t>50%</w:t>
            </w:r>
            <w:r>
              <w:rPr>
                <w:rFonts w:hint="eastAsia" w:ascii="仿宋" w:hAnsi="仿宋" w:eastAsia="仿宋" w:cs="宋体"/>
                <w:color w:val="000000" w:themeColor="text1"/>
                <w:shd w:val="clear" w:color="auto" w:fill="FFFFFF"/>
                <w14:textFill>
                  <w14:solidFill>
                    <w14:schemeClr w14:val="tx1"/>
                  </w14:solidFill>
                </w14:textFill>
              </w:rPr>
              <w:t>，均约</w:t>
            </w:r>
            <w:r>
              <w:rPr>
                <w:rFonts w:ascii="仿宋" w:hAnsi="仿宋" w:eastAsia="仿宋" w:cs="宋体"/>
                <w:color w:val="000000" w:themeColor="text1"/>
                <w:shd w:val="clear" w:color="auto" w:fill="FFFFFF"/>
                <w14:textFill>
                  <w14:solidFill>
                    <w14:schemeClr w14:val="tx1"/>
                  </w14:solidFill>
                </w14:textFill>
              </w:rPr>
              <w:t>1</w:t>
            </w:r>
            <w:r>
              <w:rPr>
                <w:rFonts w:hint="eastAsia" w:ascii="仿宋" w:hAnsi="仿宋" w:eastAsia="仿宋" w:cs="宋体"/>
                <w:color w:val="000000" w:themeColor="text1"/>
                <w:shd w:val="clear" w:color="auto" w:fill="FFFFFF"/>
                <w14:textFill>
                  <w14:solidFill>
                    <w14:schemeClr w14:val="tx1"/>
                  </w14:solidFill>
                </w14:textFill>
              </w:rPr>
              <w:t>万余名，是全巴西研究生比例最高的一所学校。坎皮纳斯大学负责巴西约</w:t>
            </w:r>
            <w:r>
              <w:rPr>
                <w:rFonts w:ascii="仿宋" w:hAnsi="仿宋" w:eastAsia="仿宋" w:cs="宋体"/>
                <w:color w:val="000000" w:themeColor="text1"/>
                <w:shd w:val="clear" w:color="auto" w:fill="FFFFFF"/>
                <w14:textFill>
                  <w14:solidFill>
                    <w14:schemeClr w14:val="tx1"/>
                  </w14:solidFill>
                </w14:textFill>
              </w:rPr>
              <w:t>15%</w:t>
            </w:r>
            <w:r>
              <w:rPr>
                <w:rFonts w:hint="eastAsia" w:ascii="仿宋" w:hAnsi="仿宋" w:eastAsia="仿宋" w:cs="宋体"/>
                <w:color w:val="000000" w:themeColor="text1"/>
                <w:shd w:val="clear" w:color="auto" w:fill="FFFFFF"/>
                <w14:textFill>
                  <w14:solidFill>
                    <w14:schemeClr w14:val="tx1"/>
                  </w14:solidFill>
                </w14:textFill>
              </w:rPr>
              <w:t>的研究，产出了比巴西其他研究机构都多的专利，仅次于巴西国家石油公司。</w:t>
            </w:r>
          </w:p>
        </w:tc>
      </w:tr>
      <w:tr>
        <w:trPr>
          <w:trHeight w:val="90" w:hRule="atLeast"/>
        </w:trPr>
        <w:tc>
          <w:tcPr>
            <w:tcW w:w="1980" w:type="dxa"/>
            <w:tcBorders>
              <w:top w:val="single" w:color="auto" w:sz="4" w:space="0"/>
              <w:left w:val="single" w:color="auto" w:sz="4" w:space="0"/>
              <w:bottom w:val="single" w:color="auto" w:sz="4" w:space="0"/>
              <w:right w:val="single" w:color="auto" w:sz="4" w:space="0"/>
            </w:tcBorders>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2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p>
            <w:pPr>
              <w:rPr>
                <w:rFonts w:hint="eastAsia" w:ascii="仿宋" w:hAnsi="仿宋" w:eastAsia="仿宋" w:cs="宋体"/>
                <w:color w:val="000000" w:themeColor="text1"/>
                <w:sz w:val="24"/>
                <w14:textFill>
                  <w14:solidFill>
                    <w14:schemeClr w14:val="tx1"/>
                  </w14:solidFill>
                </w14:textFill>
              </w:rPr>
            </w:pP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bookmarkStart w:id="10" w:name="_Toc239324131"/>
      <w:r>
        <w:rPr>
          <w:rFonts w:hint="eastAsia" w:ascii="仿宋" w:hAnsi="仿宋" w:eastAsia="仿宋"/>
          <w:sz w:val="36"/>
          <w:szCs w:val="36"/>
        </w:rPr>
        <w:t>巴西</w:t>
      </w:r>
      <w:r>
        <w:rPr>
          <w:rFonts w:ascii="仿宋" w:hAnsi="仿宋" w:eastAsia="仿宋"/>
          <w:sz w:val="36"/>
          <w:szCs w:val="36"/>
        </w:rPr>
        <w:t>南大河天主教</w:t>
      </w:r>
      <w:r>
        <w:rPr>
          <w:rFonts w:hint="eastAsia" w:ascii="仿宋" w:hAnsi="仿宋" w:eastAsia="仿宋"/>
          <w:sz w:val="36"/>
          <w:szCs w:val="36"/>
        </w:rPr>
        <w:t>大学</w:t>
      </w:r>
      <w:bookmarkEnd w:id="10"/>
    </w:p>
    <w:tbl>
      <w:tblPr>
        <w:tblStyle w:val="31"/>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525"/>
      </w:tblGrid>
      <w:tr>
        <w:trPr>
          <w:trHeight w:val="507"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B0F0"/>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B0F0"/>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宋体"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不限</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10人</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w:t>
            </w:r>
            <w:r>
              <w:rPr>
                <w:rFonts w:hint="eastAsia" w:ascii="仿宋" w:hAnsi="仿宋" w:eastAsia="仿宋" w:cs="宋体"/>
                <w:color w:val="000000" w:themeColor="text1"/>
                <w:lang w:eastAsia="zh-Hans"/>
                <w14:textFill>
                  <w14:solidFill>
                    <w14:schemeClr w14:val="tx1"/>
                  </w14:solidFill>
                </w14:textFill>
              </w:rPr>
              <w:t>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25"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B0F0"/>
              </w:rPr>
            </w:pPr>
            <w:r>
              <w:rPr>
                <w:rFonts w:hint="eastAsia" w:ascii="仿宋" w:hAnsi="仿宋" w:eastAsia="仿宋" w:cs="宋体"/>
                <w:b/>
                <w:color w:val="000000" w:themeColor="text1"/>
                <w14:textFill>
                  <w14:solidFill>
                    <w14:schemeClr w14:val="tx1"/>
                  </w14:solidFill>
                </w14:textFill>
              </w:rPr>
              <w:t>申请条件</w:t>
            </w:r>
          </w:p>
        </w:tc>
        <w:tc>
          <w:tcPr>
            <w:tcW w:w="6525" w:type="dxa"/>
            <w:tcBorders>
              <w:top w:val="single" w:color="auto" w:sz="4" w:space="0"/>
              <w:left w:val="single" w:color="auto" w:sz="4" w:space="0"/>
              <w:bottom w:val="single" w:color="auto" w:sz="4" w:space="0"/>
              <w:right w:val="single" w:color="auto" w:sz="4" w:space="0"/>
            </w:tcBorders>
          </w:tcPr>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2.</w:t>
            </w:r>
            <w:r>
              <w:rPr>
                <w:rFonts w:hint="eastAsia" w:ascii="仿宋" w:hAnsi="仿宋" w:eastAsia="仿宋" w:cs="宋体"/>
                <w:color w:val="000000" w:themeColor="text1"/>
                <w:shd w:val="clear" w:color="auto" w:fill="FFFFFF"/>
                <w14:textFill>
                  <w14:solidFill>
                    <w14:schemeClr w14:val="tx1"/>
                  </w14:solidFill>
                </w14:textFill>
              </w:rPr>
              <w:t>身心健康，无不适合在外学习的疾病史；</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3.</w:t>
            </w:r>
            <w:r>
              <w:rPr>
                <w:rFonts w:hint="eastAsia" w:ascii="仿宋" w:hAnsi="仿宋" w:eastAsia="仿宋" w:cs="宋体"/>
                <w:color w:val="000000" w:themeColor="text1"/>
                <w:shd w:val="clear" w:color="auto" w:fill="FFFFFF"/>
                <w14:textFill>
                  <w14:solidFill>
                    <w14:schemeClr w14:val="tx1"/>
                  </w14:solidFill>
                </w14:textFill>
              </w:rPr>
              <w:t>品学兼优，学习成绩排名前列，综合表现突出，GPA不低于3.0；</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4.</w:t>
            </w:r>
            <w:r>
              <w:rPr>
                <w:rFonts w:hint="eastAsia" w:ascii="仿宋" w:hAnsi="仿宋" w:eastAsia="仿宋" w:cs="宋体"/>
                <w:color w:val="000000" w:themeColor="text1"/>
                <w:shd w:val="clear" w:color="auto" w:fill="FFFFFF"/>
                <w14:textFill>
                  <w14:solidFill>
                    <w14:schemeClr w14:val="tx1"/>
                  </w14:solidFill>
                </w14:textFill>
              </w:rPr>
              <w:t>有英语、西班牙语及葡萄牙语语言成绩者优先。</w:t>
            </w:r>
          </w:p>
          <w:p>
            <w:pPr>
              <w:pStyle w:val="27"/>
              <w:widowControl/>
              <w:shd w:val="clear" w:color="auto" w:fill="FFFFFF"/>
              <w:rPr>
                <w:rFonts w:hint="eastAsia" w:ascii="仿宋" w:hAnsi="仿宋" w:eastAsia="仿宋" w:cs="宋体"/>
                <w:color w:val="000000" w:themeColor="text1"/>
                <w:shd w:val="clear" w:color="auto" w:fill="FFFFFF"/>
                <w:lang w:val="en-US" w:eastAsia="zh-CN"/>
                <w14:textFill>
                  <w14:solidFill>
                    <w14:schemeClr w14:val="tx1"/>
                  </w14:solidFill>
                </w14:textFill>
              </w:rPr>
            </w:pPr>
            <w:r>
              <w:rPr>
                <w:rFonts w:hint="eastAsia" w:ascii="仿宋" w:hAnsi="仿宋" w:eastAsia="仿宋" w:cs="宋体"/>
                <w:color w:val="000000" w:themeColor="text1"/>
                <w:shd w:val="clear" w:color="auto" w:fill="FFFFFF"/>
                <w:lang w:val="en-US" w:eastAsia="zh-CN"/>
                <w14:textFill>
                  <w14:solidFill>
                    <w14:schemeClr w14:val="tx1"/>
                  </w14:solidFill>
                </w14:textFill>
              </w:rPr>
              <w:t>注：该项目多数课程为葡萄牙语授课。</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25" w:type="dxa"/>
            <w:tcBorders>
              <w:top w:val="single" w:color="auto" w:sz="4" w:space="0"/>
              <w:left w:val="single" w:color="auto" w:sz="4" w:space="0"/>
              <w:bottom w:val="single" w:color="auto" w:sz="4" w:space="0"/>
              <w:right w:val="single" w:color="auto" w:sz="4" w:space="0"/>
            </w:tcBorders>
          </w:tcPr>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巴西南大河天主教大学始建于1931年，是巴西顶尖的私立高等学府之一，常年位居全国综合排名前列。学校以人文关怀与科研创新并重，在医学、生物科学、工程技术和商科领域享有盛誉，其附属医院和实验室也是区域医疗与科技发展的重要支撑。校园规模宏大，拥有现代化的教学设施和丰富的国际交流项目，吸引了来自世界各地的学生。同时，该校积极投身社区服务和社会责任项目，将知识传播与实际问题紧密结合，毕业生在就业市场中也备受认可。与公立院校不同，它通过灵活的办学机制和持续的投资，在多个前沿学科上形成了自己的特色优势。</w:t>
            </w:r>
          </w:p>
        </w:tc>
      </w:tr>
      <w:tr>
        <w:trPr>
          <w:trHeight w:val="90" w:hRule="atLeast"/>
        </w:trPr>
        <w:tc>
          <w:tcPr>
            <w:tcW w:w="1980" w:type="dxa"/>
            <w:tcBorders>
              <w:top w:val="single" w:color="auto" w:sz="4" w:space="0"/>
              <w:left w:val="single" w:color="auto" w:sz="4" w:space="0"/>
              <w:bottom w:val="single" w:color="auto" w:sz="4" w:space="0"/>
              <w:right w:val="single" w:color="auto" w:sz="4" w:space="0"/>
            </w:tcBorders>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2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p>
            <w:pPr>
              <w:rPr>
                <w:rFonts w:hint="eastAsia" w:ascii="仿宋" w:hAnsi="仿宋" w:eastAsia="仿宋" w:cs="宋体"/>
                <w:color w:val="000000" w:themeColor="text1"/>
                <w:sz w:val="24"/>
                <w14:textFill>
                  <w14:solidFill>
                    <w14:schemeClr w14:val="tx1"/>
                  </w14:solidFill>
                </w14:textFill>
              </w:rPr>
            </w:pP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11" w:name="_Toc12912"/>
      <w:bookmarkStart w:id="12" w:name="_Toc239324132"/>
      <w:r>
        <w:rPr>
          <w:rFonts w:hint="eastAsia" w:ascii="仿宋" w:hAnsi="仿宋" w:eastAsia="仿宋"/>
          <w:sz w:val="36"/>
          <w:szCs w:val="36"/>
        </w:rPr>
        <w:t>西班牙马德里理工大学</w:t>
      </w:r>
      <w:bookmarkEnd w:id="11"/>
      <w:bookmarkEnd w:id="12"/>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857"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每学期选派2名优秀本科生进行交流学习。学习结束后，学生可将相关学分转换回我校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能源动力与机械工程学院</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马德里理工大学始建于1971年，是西班牙办学规模最大、历史最悠久的专业性理工大学，同时也是西班牙专攻工程技术与自然科学的著名理工大学。雄厚的师资力量和强大的综合实力让马德里理工大学长期保持着在西班牙教育界的领先地位。其建筑、土木、机械、航空航天、能源等工程类专业均处于西班牙顶尖及欧洲的一流水平，在全世界也享有盛誉。学校由几所工程和建筑类学校合并而成，位于西班牙马德里自治区，其大部分校区位于自治区首府也是西班牙的首都马德里。</w:t>
            </w:r>
          </w:p>
        </w:tc>
      </w:tr>
      <w:tr>
        <w:trPr>
          <w:trHeight w:val="671" w:hRule="atLeast"/>
        </w:trPr>
        <w:tc>
          <w:tcPr>
            <w:tcW w:w="1985" w:type="dxa"/>
            <w:vAlign w:val="center"/>
          </w:tcPr>
          <w:p>
            <w:pPr>
              <w:pStyle w:val="27"/>
              <w:widowControl/>
              <w:rPr>
                <w:rFonts w:hint="eastAsia" w:ascii="仿宋" w:hAnsi="仿宋" w:eastAsia="仿宋" w:cs="宋体"/>
                <w:b/>
              </w:rPr>
            </w:pPr>
            <w:r>
              <w:rPr>
                <w:rFonts w:hint="eastAsia" w:ascii="仿宋" w:hAnsi="仿宋" w:eastAsia="仿宋" w:cs="宋体"/>
                <w:b/>
              </w:rPr>
              <w:t>报名咨询方式</w:t>
            </w:r>
          </w:p>
        </w:tc>
        <w:tc>
          <w:tcPr>
            <w:tcW w:w="6515" w:type="dxa"/>
            <w:vAlign w:val="center"/>
          </w:tcPr>
          <w:p>
            <w:pPr>
              <w:rPr>
                <w:rFonts w:hint="eastAsia" w:ascii="仿宋" w:hAnsi="仿宋" w:eastAsia="仿宋" w:cs="宋体"/>
                <w:sz w:val="24"/>
              </w:rPr>
            </w:pPr>
            <w:r>
              <w:rPr>
                <w:rFonts w:hint="eastAsia" w:ascii="仿宋" w:hAnsi="仿宋" w:eastAsia="仿宋" w:cs="宋体"/>
                <w:sz w:val="24"/>
              </w:rPr>
              <w:t>北京校部</w:t>
            </w:r>
          </w:p>
          <w:p>
            <w:pPr>
              <w:rPr>
                <w:rFonts w:hint="eastAsia" w:ascii="仿宋" w:hAnsi="仿宋" w:eastAsia="仿宋" w:cs="宋体"/>
                <w:sz w:val="24"/>
                <w:lang w:eastAsia="zh-Hans"/>
              </w:rPr>
            </w:pPr>
            <w:r>
              <w:rPr>
                <w:rFonts w:hint="eastAsia" w:ascii="仿宋" w:hAnsi="仿宋" w:eastAsia="仿宋" w:cs="宋体"/>
                <w:sz w:val="24"/>
              </w:rPr>
              <w:t>联系人：</w:t>
            </w:r>
            <w:r>
              <w:rPr>
                <w:rFonts w:hint="eastAsia" w:ascii="仿宋" w:hAnsi="仿宋" w:eastAsia="仿宋" w:cs="宋体"/>
                <w:sz w:val="24"/>
                <w:lang w:eastAsia="zh-Hans"/>
              </w:rPr>
              <w:t>任楚颐</w:t>
            </w:r>
          </w:p>
          <w:p>
            <w:pPr>
              <w:rPr>
                <w:rFonts w:hint="eastAsia" w:ascii="仿宋" w:hAnsi="仿宋" w:eastAsia="仿宋" w:cs="宋体"/>
                <w:sz w:val="24"/>
              </w:rPr>
            </w:pPr>
            <w:r>
              <w:rPr>
                <w:rFonts w:hint="eastAsia" w:ascii="仿宋" w:hAnsi="仿宋" w:eastAsia="仿宋" w:cs="宋体"/>
                <w:sz w:val="24"/>
              </w:rPr>
              <w:t>电话：010-61772342</w:t>
            </w:r>
          </w:p>
          <w:p>
            <w:pPr>
              <w:rPr>
                <w:rFonts w:hint="eastAsia" w:ascii="仿宋" w:hAnsi="仿宋" w:eastAsia="仿宋" w:cs="宋体"/>
                <w:sz w:val="24"/>
              </w:rPr>
            </w:pPr>
            <w:r>
              <w:rPr>
                <w:rFonts w:hint="eastAsia" w:ascii="仿宋" w:hAnsi="仿宋" w:eastAsia="仿宋" w:cs="宋体"/>
                <w:sz w:val="24"/>
              </w:rPr>
              <w:t>地点：主D837</w:t>
            </w:r>
          </w:p>
          <w:p>
            <w:pPr>
              <w:rPr>
                <w:rFonts w:hint="eastAsia" w:ascii="仿宋" w:hAnsi="仿宋" w:eastAsia="仿宋" w:cs="宋体"/>
                <w:sz w:val="24"/>
              </w:rPr>
            </w:pPr>
            <w:r>
              <w:rPr>
                <w:rFonts w:hint="eastAsia" w:ascii="仿宋" w:hAnsi="仿宋" w:eastAsia="仿宋" w:cs="宋体"/>
                <w:sz w:val="24"/>
              </w:rPr>
              <w:t>保定校区</w:t>
            </w:r>
          </w:p>
          <w:p>
            <w:pPr>
              <w:rPr>
                <w:rFonts w:hint="eastAsia" w:ascii="仿宋" w:hAnsi="仿宋" w:eastAsia="仿宋" w:cs="宋体"/>
                <w:sz w:val="24"/>
              </w:rPr>
            </w:pPr>
            <w:r>
              <w:rPr>
                <w:rFonts w:hint="eastAsia" w:ascii="仿宋" w:hAnsi="仿宋" w:eastAsia="仿宋" w:cs="宋体"/>
                <w:sz w:val="24"/>
              </w:rPr>
              <w:t>联系人：赵乔</w:t>
            </w:r>
          </w:p>
          <w:p>
            <w:pPr>
              <w:rPr>
                <w:rFonts w:hint="eastAsia" w:ascii="仿宋" w:hAnsi="仿宋" w:eastAsia="仿宋" w:cs="宋体"/>
                <w:sz w:val="24"/>
              </w:rPr>
            </w:pPr>
            <w:r>
              <w:rPr>
                <w:rFonts w:hint="eastAsia" w:ascii="仿宋" w:hAnsi="仿宋" w:eastAsia="仿宋" w:cs="宋体"/>
                <w:sz w:val="24"/>
              </w:rPr>
              <w:t>电话：0312-7522348</w:t>
            </w:r>
          </w:p>
          <w:p>
            <w:pPr>
              <w:rPr>
                <w:rFonts w:hint="eastAsia" w:ascii="仿宋" w:hAnsi="仿宋" w:eastAsia="仿宋" w:cs="宋体"/>
                <w:sz w:val="24"/>
              </w:rPr>
            </w:pPr>
            <w:r>
              <w:rPr>
                <w:rFonts w:hint="eastAsia" w:ascii="仿宋" w:hAnsi="仿宋" w:eastAsia="仿宋" w:cs="宋体"/>
                <w:sz w:val="24"/>
              </w:rPr>
              <w:t>地址：综合楼710</w:t>
            </w: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cs="宋体"/>
          <w:b w:val="0"/>
          <w:bCs/>
          <w:sz w:val="36"/>
          <w:szCs w:val="36"/>
          <w:shd w:val="clear" w:color="auto" w:fill="FFFFFF"/>
        </w:rPr>
      </w:pPr>
      <w:bookmarkStart w:id="13" w:name="_Toc239324133"/>
      <w:bookmarkStart w:id="14" w:name="_Toc14063"/>
      <w:r>
        <w:rPr>
          <w:rFonts w:hint="eastAsia" w:ascii="仿宋" w:hAnsi="仿宋" w:eastAsia="仿宋"/>
          <w:sz w:val="36"/>
          <w:szCs w:val="36"/>
        </w:rPr>
        <w:t>波兰弗罗茨瓦夫理工大学</w:t>
      </w:r>
      <w:bookmarkEnd w:id="13"/>
      <w:bookmarkEnd w:id="14"/>
    </w:p>
    <w:tbl>
      <w:tblPr>
        <w:tblStyle w:val="30"/>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7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每学期选派优秀本科生进行交流学习。学习结束后，学生可将相关学分转换回我校</w:t>
            </w:r>
          </w:p>
        </w:tc>
      </w:tr>
      <w:tr>
        <w:trPr>
          <w:trHeight w:val="548"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不限（本人需有</w:t>
            </w:r>
            <w:r>
              <w:rPr>
                <w:rFonts w:ascii="仿宋" w:hAnsi="仿宋" w:eastAsia="仿宋" w:cs="宋体"/>
                <w:color w:val="000000" w:themeColor="text1"/>
                <w14:textFill>
                  <w14:solidFill>
                    <w14:schemeClr w14:val="tx1"/>
                  </w14:solidFill>
                </w14:textFill>
              </w:rPr>
              <w:t>与</w:t>
            </w:r>
            <w:r>
              <w:rPr>
                <w:rFonts w:hint="eastAsia" w:ascii="仿宋" w:hAnsi="仿宋" w:eastAsia="仿宋" w:cs="宋体"/>
                <w:color w:val="000000" w:themeColor="text1"/>
                <w14:textFill>
                  <w14:solidFill>
                    <w14:schemeClr w14:val="tx1"/>
                  </w14:solidFill>
                </w14:textFill>
              </w:rPr>
              <w:t>波兰伙伴校符合的相关专业课程，具体</w:t>
            </w:r>
            <w:r>
              <w:rPr>
                <w:rFonts w:ascii="仿宋" w:hAnsi="仿宋" w:eastAsia="仿宋" w:cs="宋体"/>
                <w:color w:val="000000" w:themeColor="text1"/>
                <w14:textFill>
                  <w14:solidFill>
                    <w14:schemeClr w14:val="tx1"/>
                  </w14:solidFill>
                </w14:textFill>
              </w:rPr>
              <w:t>专业课程请赴波兰弗洛茨瓦夫理工大学官网查询</w:t>
            </w:r>
            <w:r>
              <w:rPr>
                <w:rFonts w:hint="eastAsia" w:ascii="仿宋" w:hAnsi="仿宋" w:eastAsia="仿宋" w:cs="宋体"/>
                <w:color w:val="000000" w:themeColor="text1"/>
                <w14:textFill>
                  <w14:solidFill>
                    <w14:schemeClr w14:val="tx1"/>
                  </w14:solidFill>
                </w14:textFill>
              </w:rPr>
              <w:t>）</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rPr>
            </w:pPr>
            <w:r>
              <w:rPr>
                <w:rFonts w:hint="eastAsia" w:ascii="仿宋" w:hAnsi="仿宋" w:eastAsia="仿宋" w:cs="宋体"/>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rPr>
            </w:pPr>
            <w:r>
              <w:rPr>
                <w:rFonts w:ascii="仿宋" w:hAnsi="仿宋" w:eastAsia="仿宋" w:cs="宋体"/>
              </w:rPr>
              <w:t>5</w:t>
            </w:r>
          </w:p>
        </w:tc>
      </w:tr>
      <w:tr>
        <w:trPr>
          <w:trHeight w:val="549"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rPr>
            </w:pPr>
            <w:r>
              <w:rPr>
                <w:rFonts w:hint="eastAsia" w:ascii="仿宋" w:hAnsi="仿宋" w:eastAsia="仿宋" w:cs="宋体"/>
              </w:rPr>
              <w:t>1学期或1学年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rPr>
            </w:pPr>
            <w:r>
              <w:rPr>
                <w:rFonts w:ascii="仿宋" w:hAnsi="仿宋" w:eastAsia="仿宋" w:cs="宋体"/>
              </w:rPr>
              <w:t>5</w:t>
            </w:r>
            <w:r>
              <w:rPr>
                <w:rFonts w:hint="eastAsia" w:ascii="仿宋" w:hAnsi="仿宋" w:eastAsia="仿宋" w:cs="宋体"/>
              </w:rPr>
              <w:t>个免学费名额</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（1）热爱祖国，具有良好的政治思想素质，在校期间无违法违纪记录；</w:t>
            </w:r>
          </w:p>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（2）身心健康，无不适合在外学习的疾病史；</w:t>
            </w:r>
          </w:p>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（3）品学兼优，学习成绩排名前列，综合表现突出，GPA不低于3.0；</w:t>
            </w:r>
          </w:p>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（4）较强的英语沟通能力（无需雅思托福成绩，但需通过对方院校面试）。</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弗罗兹瓦夫理工大学（以下简称弗理工）创建于1945年。大学前身是1910年成立的弗罗茨瓦夫理工学院。二次世界大战结束后，1945年11月15日弗理工开始了第一次授课，从此这天被大学定为奠基庆典日。作为波兰最大的理工科大学之一，弗理工现有在校学生31,936人，全日制学生25604人。分主校区弗罗茨瓦夫和三个分校区。至今160多年的学术遗产使弗罗茨瓦夫理工大学能够援引欧洲大学的传统，突出的研究与教学的成果使弗罗兹瓦夫理工大学跻身波兰最好的技术性大学，在</w:t>
            </w:r>
            <w:r>
              <w:rPr>
                <w:rFonts w:hint="eastAsia" w:ascii="仿宋" w:hAnsi="仿宋" w:eastAsia="仿宋" w:cs="宋体"/>
                <w:color w:val="000000" w:themeColor="text1"/>
                <w:sz w:val="24"/>
                <w14:textFill>
                  <w14:solidFill>
                    <w14:schemeClr w14:val="tx1"/>
                  </w14:solidFill>
                </w14:textFill>
              </w:rPr>
              <w:t>波兰高校Perspektywy ranking中综合排名第4，工程学科排名第2。</w:t>
            </w:r>
          </w:p>
        </w:tc>
      </w:tr>
    </w:tbl>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71" w:hRule="atLeast"/>
        </w:trPr>
        <w:tc>
          <w:tcPr>
            <w:tcW w:w="1985" w:type="dxa"/>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
      <w:pPr>
        <w:pStyle w:val="4"/>
        <w:jc w:val="center"/>
        <w:rPr>
          <w:rFonts w:hint="eastAsia" w:ascii="仿宋" w:hAnsi="仿宋" w:eastAsia="仿宋"/>
          <w:sz w:val="36"/>
          <w:szCs w:val="36"/>
        </w:rPr>
      </w:pPr>
      <w:bookmarkStart w:id="15" w:name="_Toc239324134"/>
      <w:bookmarkStart w:id="16" w:name="_Toc7828"/>
      <w:r>
        <w:rPr>
          <w:rFonts w:hint="eastAsia" w:ascii="仿宋" w:hAnsi="仿宋" w:eastAsia="仿宋"/>
          <w:sz w:val="36"/>
          <w:szCs w:val="36"/>
        </w:rPr>
        <w:t>克罗地亚萨格勒布大学</w:t>
      </w:r>
      <w:bookmarkEnd w:id="15"/>
      <w:bookmarkEnd w:id="16"/>
    </w:p>
    <w:tbl>
      <w:tblPr>
        <w:tblStyle w:val="30"/>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46"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每学期选派优秀本科生进行交流学习。学习结束后，学生可将相关学分转换回我校</w:t>
            </w:r>
          </w:p>
        </w:tc>
      </w:tr>
      <w:tr>
        <w:trPr>
          <w:trHeight w:val="395"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控制与计算机学院，电气与电子工程学院</w:t>
            </w:r>
          </w:p>
        </w:tc>
      </w:tr>
      <w:tr>
        <w:trPr>
          <w:trHeight w:val="563"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免学费，其余费用自理</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（3）品学兼优，学习成绩排名前列，综合表现突出，GPA不低于3.0；</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（4）较强的英语沟通能力，达到欧盟要求</w:t>
            </w:r>
            <w:r>
              <w:rPr>
                <w:rFonts w:ascii="仿宋" w:hAnsi="仿宋" w:eastAsia="仿宋" w:cs="宋体"/>
                <w:color w:val="000000" w:themeColor="text1"/>
                <w:shd w:val="clear" w:color="auto" w:fill="FFFFFF"/>
                <w14:textFill>
                  <w14:solidFill>
                    <w14:schemeClr w14:val="tx1"/>
                  </w14:solidFill>
                </w14:textFill>
              </w:rPr>
              <w:t>B2</w:t>
            </w:r>
            <w:r>
              <w:rPr>
                <w:rFonts w:hint="eastAsia" w:ascii="仿宋" w:hAnsi="仿宋" w:eastAsia="仿宋" w:cs="宋体"/>
                <w:color w:val="000000" w:themeColor="text1"/>
                <w:shd w:val="clear" w:color="auto" w:fill="FFFFFF"/>
                <w14:textFill>
                  <w14:solidFill>
                    <w14:schemeClr w14:val="tx1"/>
                  </w14:solidFill>
                </w14:textFill>
              </w:rPr>
              <w:t>水平，获通过语言面试。</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shd w:val="clear" w:color="auto" w:fill="FFFFFF"/>
                <w:lang w:bidi="ar"/>
                <w14:textFill>
                  <w14:solidFill>
                    <w14:schemeClr w14:val="tx1"/>
                  </w14:solidFill>
                </w14:textFill>
              </w:rPr>
              <w:t>萨格勒布大学位于克罗地亚首都萨格勒布，学校拥有7900名教师，70000余名学生。该校成立于1669年，是维也纳以南的中欧地区和欧洲东南部地区最古老的一所大学。同时，该校也是克罗地亚最大的一所大学。萨格勒布大学是一所全科综合性大学，学校设有全科学领域教研专业，包括艺术、生物医学、生物工程、工程学、人文科学、自然科学与社会科学。萨格勒布大学设有从本科到研究生阶段专业课程，共涵盖29个系所，3个艺术中心。萨格勒布大学是克罗地亚的研究中心，是国家教育机构的一面旗帜。</w:t>
            </w:r>
            <w:r>
              <w:rPr>
                <w:rFonts w:hint="eastAsia" w:ascii="仿宋" w:hAnsi="仿宋" w:eastAsia="仿宋" w:cs="宋体"/>
                <w:color w:val="000000" w:themeColor="text1"/>
                <w:sz w:val="24"/>
                <w14:textFill>
                  <w14:solidFill>
                    <w14:schemeClr w14:val="tx1"/>
                  </w14:solidFill>
                </w14:textFill>
              </w:rPr>
              <w:t>自1874年以来，萨格勒布大学共计培养超过20万名本科生，1万8千名硕士和8千名博士。2018世界大学排名（CWUR）位列第463名。</w:t>
            </w:r>
          </w:p>
        </w:tc>
      </w:tr>
      <w:tr>
        <w:trPr>
          <w:trHeight w:val="671"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17" w:name="_Toc30251"/>
      <w:bookmarkStart w:id="18" w:name="_Toc239324135"/>
      <w:r>
        <w:rPr>
          <w:rFonts w:hint="eastAsia" w:ascii="仿宋" w:hAnsi="仿宋" w:eastAsia="仿宋"/>
          <w:sz w:val="36"/>
          <w:szCs w:val="36"/>
        </w:rPr>
        <w:t>俄罗斯乌拉尔国立经济大学</w:t>
      </w:r>
      <w:bookmarkEnd w:id="17"/>
      <w:bookmarkEnd w:id="18"/>
    </w:p>
    <w:tbl>
      <w:tblPr>
        <w:tblStyle w:val="30"/>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46"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每学期选派优秀本科生进行交流学习。学习结束后，学生可将相关学分转换回我校</w:t>
            </w:r>
          </w:p>
        </w:tc>
      </w:tr>
      <w:tr>
        <w:trPr>
          <w:trHeight w:val="395"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63"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免学费，其余费用自理</w:t>
            </w:r>
          </w:p>
          <w:p>
            <w:pPr>
              <w:pStyle w:val="27"/>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宿舍费——每月约1000卢布</w:t>
            </w:r>
          </w:p>
          <w:p>
            <w:pPr>
              <w:pStyle w:val="27"/>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体检-3000卢布</w:t>
            </w:r>
          </w:p>
          <w:p>
            <w:pPr>
              <w:pStyle w:val="27"/>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保险-3500卢布</w:t>
            </w:r>
          </w:p>
          <w:p>
            <w:pPr>
              <w:pStyle w:val="27"/>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签证延期-1600卢布</w:t>
            </w:r>
          </w:p>
          <w:p>
            <w:pPr>
              <w:pStyle w:val="27"/>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指纹-2000卢布</w:t>
            </w:r>
          </w:p>
          <w:p>
            <w:pPr>
              <w:pStyle w:val="27"/>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更多内容可查询官网：https://abit.usue.ru/baza-profilej-bakalavriat/</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（3）品学兼优，学习成绩排名前列，综合表现突出，GPA不低于3.0；</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14:textFill>
                  <w14:solidFill>
                    <w14:schemeClr w14:val="tx1"/>
                  </w14:solidFill>
                </w14:textFill>
              </w:rPr>
              <w:t>俄罗斯乌拉尔国立经济大学简介:俄罗斯乌拉尔国立经济大学（The Ural State University of Economics，简称USUE），成立于1967年，位于</w:t>
            </w:r>
            <w:r>
              <w:fldChar w:fldCharType="begin"/>
            </w:r>
            <w:r>
              <w:instrText xml:space="preserve">HYPERLINK "https://baike.baidu.com/item/%E4%BF%84%E7%BD%97%E6%96%AF/125568?fromModule=lemma_inlink" \t "https://baike.baidu.com/item/%E4%BF%84%E7%BD%97%E6%96%AF%E4%B9%8C%E6%8B%89%E5%B0%94%E5%9B%BD%E7%AB%8B%E7%BB%8F%E6%B5%8E%E5%A4%A7%E5%AD%A6/_blank"</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俄罗斯</w:t>
            </w:r>
            <w:r>
              <w:fldChar w:fldCharType="end"/>
            </w:r>
            <w:r>
              <w:rPr>
                <w:rFonts w:ascii="仿宋" w:hAnsi="仿宋" w:eastAsia="仿宋" w:cs="宋体"/>
                <w:color w:val="000000" w:themeColor="text1"/>
                <w:kern w:val="0"/>
                <w:sz w:val="24"/>
                <w:shd w:val="clear" w:color="auto" w:fill="FFFFFF"/>
                <w14:textFill>
                  <w14:solidFill>
                    <w14:schemeClr w14:val="tx1"/>
                  </w14:solidFill>
                </w14:textFill>
              </w:rPr>
              <w:t>叶卡捷琳堡，学校前身为乌拉尔国民经济学院，1993年正式更名为乌拉尔国立经济大学。俄罗斯乌拉尔国立经济大学设有四个学院（研究所），包括经济学研究所，金融与法律研究所，贸易、食品技术与服务研究所，以及管理与信息技术研究所。在</w:t>
            </w:r>
            <w:r>
              <w:fldChar w:fldCharType="begin"/>
            </w:r>
            <w:r>
              <w:instrText xml:space="preserve">HYPERLINK "https://baike.baidu.com/item/%E4%BF%84%E7%BD%97%E6%96%AF/125568?fromModule=lemma_inlink" \t "https://baike.baidu.com/item/%E4%BF%84%E7%BD%97%E6%96%AF%E4%B9%8C%E6%8B%89%E5%B0%94%E5%9B%BD%E7%AB%8B%E7%BB%8F%E6%B5%8E%E5%A4%A7%E5%AD%A6/_blank"</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俄罗斯</w:t>
            </w:r>
            <w:r>
              <w:fldChar w:fldCharType="end"/>
            </w:r>
            <w:r>
              <w:rPr>
                <w:rFonts w:ascii="仿宋" w:hAnsi="仿宋" w:eastAsia="仿宋" w:cs="宋体"/>
                <w:color w:val="000000" w:themeColor="text1"/>
                <w:kern w:val="0"/>
                <w:sz w:val="24"/>
                <w:shd w:val="clear" w:color="auto" w:fill="FFFFFF"/>
                <w14:textFill>
                  <w14:solidFill>
                    <w14:schemeClr w14:val="tx1"/>
                  </w14:solidFill>
                </w14:textFill>
              </w:rPr>
              <w:t>教育部的指示下，以</w:t>
            </w:r>
            <w:r>
              <w:fldChar w:fldCharType="begin"/>
            </w:r>
            <w:r>
              <w:instrText xml:space="preserve"> HYPERLINK "https://baike.baidu.com/item/%E5%85%A8%E6%97%A5%E5%88%B6%E6%95%99%E8%82%B2/827804?fromModule=lemma_inlink"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全日制教育</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为基础，开设本科、</w:t>
            </w:r>
            <w:r>
              <w:fldChar w:fldCharType="begin"/>
            </w:r>
            <w:r>
              <w:instrText xml:space="preserve"> HYPERLINK "https://baike.baidu.com/item/%E7%A1%95%E5%A3%AB/237792?fromModule=lemma_inlink"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硕士</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及</w:t>
            </w:r>
            <w:r>
              <w:fldChar w:fldCharType="begin"/>
            </w:r>
            <w:r>
              <w:instrText xml:space="preserve"> HYPERLINK "https://baike.baidu.com/item/%E5%8D%9A%E5%A3%AB/2235592?fromModule=lemma_inlink"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博士</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相关专业。2015年，俄罗斯乌拉尔国立经济大学加入</w:t>
            </w:r>
            <w:r>
              <w:fldChar w:fldCharType="begin"/>
            </w:r>
            <w:r>
              <w:instrText xml:space="preserve">HYPERLINK "https://baike.baidu.com/item/%E2%80%9C%E4%B8%80%E5%B8%A6%E4%B8%80%E8%B7%AF%E2%80%9D%E9%AB%98%E6%A0%A1%E6%88%98%E7%95%A5%E8%81%94%E7%9B%9F/18726361?fromModule=lemma_inlink" \t "https://baike.baidu.com/item/%E4%BF%84%E7%BD%97%E6%96%AF%E4%B9%8C%E6%8B%89%E5%B0%94%E5%9B%BD%E7%AB%8B%E7%BB%8F%E6%B5%8E%E5%A4%A7%E5%AD%A6/_blank"</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“一带一路”高校战略联盟</w:t>
            </w:r>
            <w:r>
              <w:fldChar w:fldCharType="end"/>
            </w:r>
            <w:r>
              <w:rPr>
                <w:rFonts w:ascii="仿宋" w:hAnsi="仿宋" w:eastAsia="仿宋" w:cs="宋体"/>
                <w:color w:val="000000" w:themeColor="text1"/>
                <w:kern w:val="0"/>
                <w:sz w:val="24"/>
                <w:shd w:val="clear" w:color="auto" w:fill="FFFFFF"/>
                <w14:textFill>
                  <w14:solidFill>
                    <w14:schemeClr w14:val="tx1"/>
                  </w14:solidFill>
                </w14:textFill>
              </w:rPr>
              <w:t>。学校主页：</w:t>
            </w:r>
            <w:r>
              <w:fldChar w:fldCharType="begin"/>
            </w:r>
            <w:r>
              <w:instrText xml:space="preserve"> HYPERLINK "https://en.usue.ru/" \t "https://mail.qq.com/cgi-bin/_blank"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en.usue.ru</w:t>
            </w:r>
            <w:r>
              <w:rPr>
                <w:rFonts w:ascii="仿宋" w:hAnsi="仿宋" w:eastAsia="仿宋" w:cs="宋体"/>
                <w:color w:val="000000" w:themeColor="text1"/>
                <w:kern w:val="0"/>
                <w:sz w:val="24"/>
                <w:shd w:val="clear" w:color="auto" w:fill="FFFFFF"/>
                <w14:textFill>
                  <w14:solidFill>
                    <w14:schemeClr w14:val="tx1"/>
                  </w14:solidFill>
                </w14:textFill>
              </w:rPr>
              <w:fldChar w:fldCharType="end"/>
            </w:r>
          </w:p>
        </w:tc>
      </w:tr>
      <w:tr>
        <w:trPr>
          <w:trHeight w:val="671"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19" w:name="_Toc239324136"/>
      <w:bookmarkStart w:id="20" w:name="_Toc14846"/>
      <w:r>
        <w:rPr>
          <w:rFonts w:hint="eastAsia" w:ascii="仿宋" w:hAnsi="仿宋" w:eastAsia="仿宋"/>
          <w:sz w:val="36"/>
          <w:szCs w:val="36"/>
        </w:rPr>
        <w:t>韩国首尔市立大学</w:t>
      </w:r>
      <w:bookmarkEnd w:id="19"/>
      <w:bookmarkEnd w:id="20"/>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每学期选派2名优秀本科生进行交流学习。学习结束后，学生可将相关学分转换回我校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2个免学费名额</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759"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详情请咨询韩国首尔市立大学官网</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https://www.uos.ac.kr/en/main.do?epTicket=LOG</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（4）较强的英语沟通能力（建议提供语言成绩）。</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首尔市立大学(英文：The University of Seoul 韩文：</w:t>
            </w:r>
            <w:r>
              <w:rPr>
                <w:rFonts w:hint="eastAsia" w:ascii="Malgun Gothic" w:hAnsi="Malgun Gothic" w:eastAsia="Malgun Gothic" w:cs="Malgun Gothic"/>
                <w:color w:val="000000" w:themeColor="text1"/>
                <w:shd w:val="clear" w:color="auto" w:fill="FFFFFF"/>
                <w14:textFill>
                  <w14:solidFill>
                    <w14:schemeClr w14:val="tx1"/>
                  </w14:solidFill>
                </w14:textFill>
              </w:rPr>
              <w:t>서울시립대학교</w:t>
            </w:r>
            <w:r>
              <w:rPr>
                <w:rFonts w:hint="eastAsia" w:ascii="仿宋" w:hAnsi="仿宋" w:eastAsia="仿宋" w:cs="宋体"/>
                <w:color w:val="000000" w:themeColor="text1"/>
                <w:shd w:val="clear" w:color="auto" w:fill="FFFFFF"/>
                <w14:textFill>
                  <w14:solidFill>
                    <w14:schemeClr w14:val="tx1"/>
                  </w14:solidFill>
                </w14:textFill>
              </w:rPr>
              <w:t xml:space="preserve"> 中文：首尔市立大学校)，简称UOS，成立于1918年，位于韩国首尔特别市，是韩国国内一所一流综合性公立大学，也是享誉亚洲的前百强名校之一。近年来因为实行“半价学费”策略，得到首尔市政府的大力支持，通过大幅提高高考分数，吸引了很多顶尖的韩国高中生报考该校，使得名气大涨。在本国权威性中央日报大学评价中位列第14位，QS亚洲大学排名位列第112位，QS世界大学排名第650位。学校为社会培养了大量适应城市社会要求的具有指导能力的人才，众多优秀的人才进入韩国的知名企业如SK，三星电子等。首尔市立大学学院设置：法定学院、城市科学学院、经商学院、人本学院、物理科学学院、工科学院、艺术体育学院。</w:t>
            </w:r>
          </w:p>
        </w:tc>
      </w:tr>
      <w:tr>
        <w:trPr>
          <w:trHeight w:val="671"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rPr>
          <w:rFonts w:hint="eastAsia" w:ascii="仿宋" w:hAnsi="仿宋" w:eastAsia="仿宋"/>
          <w:color w:val="404040" w:themeColor="text1" w:themeTint="BF"/>
          <w:sz w:val="36"/>
          <w:szCs w:val="36"/>
          <w14:textFill>
            <w14:solidFill>
              <w14:schemeClr w14:val="tx1">
                <w14:lumMod w14:val="75000"/>
                <w14:lumOff w14:val="25000"/>
              </w14:schemeClr>
            </w14:solidFill>
          </w14:textFill>
        </w:rPr>
      </w:pPr>
    </w:p>
    <w:p>
      <w:pPr>
        <w:rPr>
          <w:rFonts w:hint="eastAsia" w:ascii="仿宋" w:hAnsi="仿宋" w:eastAsia="仿宋"/>
          <w:color w:val="404040" w:themeColor="text1" w:themeTint="BF"/>
          <w:sz w:val="36"/>
          <w:szCs w:val="36"/>
          <w14:textFill>
            <w14:solidFill>
              <w14:schemeClr w14:val="tx1">
                <w14:lumMod w14:val="75000"/>
                <w14:lumOff w14:val="25000"/>
              </w14:schemeClr>
            </w14:solidFill>
          </w14:textFill>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21" w:name="_Toc239324137"/>
      <w:bookmarkStart w:id="22" w:name="_Toc27692"/>
      <w:r>
        <w:rPr>
          <w:rFonts w:hint="eastAsia" w:ascii="仿宋" w:hAnsi="仿宋" w:eastAsia="仿宋"/>
          <w:sz w:val="36"/>
          <w:szCs w:val="36"/>
        </w:rPr>
        <w:t>韩国庆北大学</w:t>
      </w:r>
      <w:bookmarkEnd w:id="21"/>
      <w:bookmarkEnd w:id="22"/>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ind w:left="226" w:right="226"/>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每年选拔2名优秀本科生或研究生进行一学期的学习。学生学习结束后，可将相关学分转换回我校。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val="en-US" w:eastAsia="zh-CN"/>
                <w14:textFill>
                  <w14:solidFill>
                    <w14:schemeClr w14:val="tx1"/>
                  </w14:solidFill>
                </w14:textFill>
              </w:rPr>
              <w:t>1</w:t>
            </w:r>
            <w:bookmarkStart w:id="60" w:name="_GoBack"/>
            <w:bookmarkEnd w:id="60"/>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r>
              <w:rPr>
                <w:rFonts w:hint="eastAsia" w:ascii="仿宋" w:hAnsi="仿宋" w:eastAsia="仿宋" w:cs="宋体"/>
                <w:color w:val="000000" w:themeColor="text1"/>
                <w:shd w:val="clear" w:color="auto" w:fill="FFFFFF"/>
                <w14:textFill>
                  <w14:solidFill>
                    <w14:schemeClr w14:val="tx1"/>
                  </w14:solidFill>
                </w14:textFill>
              </w:rPr>
              <w:t>一个学期的宿舍费大概1000美元包括一日三餐。</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详情请咨询庆北大学官网http://cn.knu.ac.kr/admission/exchange01.htm</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（3）品学兼优，学习成绩排名前列，综合表现突出，GPA不低于3.0；</w:t>
            </w:r>
          </w:p>
          <w:p>
            <w:pPr>
              <w:pStyle w:val="27"/>
              <w:widowControl/>
              <w:ind w:right="226"/>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（4）有韩语语言成绩者优先。</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Style w:val="33"/>
                <w:rFonts w:hint="eastAsia" w:ascii="仿宋" w:hAnsi="仿宋" w:eastAsia="仿宋" w:cs="宋体"/>
                <w:b w:val="0"/>
                <w:bCs/>
                <w:color w:val="000000" w:themeColor="text1"/>
                <w:shd w:val="clear" w:color="auto" w:fill="FFFFFF"/>
                <w14:textFill>
                  <w14:solidFill>
                    <w14:schemeClr w14:val="tx1"/>
                  </w14:solidFill>
                </w14:textFill>
              </w:rPr>
              <w:t>庆北大学</w:t>
            </w:r>
            <w:r>
              <w:rPr>
                <w:rFonts w:hint="eastAsia" w:ascii="仿宋" w:hAnsi="仿宋" w:eastAsia="仿宋" w:cs="宋体"/>
                <w:bCs/>
                <w:color w:val="000000" w:themeColor="text1"/>
                <w:shd w:val="clear" w:color="auto" w:fill="FFFFFF"/>
                <w14:textFill>
                  <w14:solidFill>
                    <w14:schemeClr w14:val="tx1"/>
                  </w14:solidFill>
                </w14:textFill>
              </w:rPr>
              <w:t>是韩国的一所国立大学，也是韩国10所国立旗帜大学之一，于1946年由大邱师大、大邱医大和大邱农大三所大学合并而成，在1951年设立了文理科学院和政法学院后，正式成为综合性国立大学，2008年3月与尚州大学合并。作为教育、研究和学术的中心发挥着最强的力量并取得了耀眼的成果，是韩国代表性的国立大学， 同时也是被世界认可的知识先导大学。开设大邱校园（主校区）和尚州校园两个校区。设置本科、硕士和博士课程，由16个学院、4个直属学院和14个研究生院组成。</w:t>
            </w:r>
          </w:p>
        </w:tc>
      </w:tr>
      <w:tr>
        <w:trPr>
          <w:trHeight w:val="671" w:hRule="atLeast"/>
        </w:trPr>
        <w:tc>
          <w:tcPr>
            <w:tcW w:w="1985" w:type="dxa"/>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23" w:name="_Toc239324138"/>
      <w:bookmarkStart w:id="24" w:name="_Toc1121"/>
      <w:r>
        <w:rPr>
          <w:rFonts w:hint="eastAsia" w:ascii="仿宋" w:hAnsi="仿宋" w:eastAsia="仿宋"/>
          <w:sz w:val="36"/>
          <w:szCs w:val="36"/>
        </w:rPr>
        <w:t>韩国淑明女子大学</w:t>
      </w:r>
      <w:bookmarkEnd w:id="23"/>
      <w:bookmarkEnd w:id="24"/>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不限（免学费名额2人）</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请咨询淑明女子大学官网http://www.sookmyung.ac.kr/sookmyungkr/index.do</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资助</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2人免学费</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申请免学费GPA3.0以上建议提供韩语成绩或托福成绩</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韩国女性教育发源地 -淑明女子大学校是在大韩帝国时期1906年由</w:t>
            </w:r>
            <w:r>
              <w:fldChar w:fldCharType="begin"/>
            </w:r>
            <w:r>
              <w:instrText xml:space="preserve">HYPERLINK "https://baike.baidu.com/item/%E6%9C%9D%E9%B2%9C%E9%AB%98%E5%AE%97/1546268" \t "https://baike.baidu.com/item/%E6%B7%91%E6%98%8E%E5%A5%B3%E5%AD%90%E5%A4%A7%E5%AD%A6/_blank"</w:instrText>
            </w:r>
            <w:r>
              <w:fldChar w:fldCharType="separate"/>
            </w:r>
            <w:r>
              <w:rPr>
                <w:rFonts w:hint="eastAsia" w:ascii="仿宋" w:hAnsi="仿宋" w:eastAsia="仿宋" w:cs="宋体"/>
                <w:color w:val="000000" w:themeColor="text1"/>
                <w14:textFill>
                  <w14:solidFill>
                    <w14:schemeClr w14:val="tx1"/>
                  </w14:solidFill>
                </w14:textFill>
              </w:rPr>
              <w:t>朝鲜高宗</w:t>
            </w:r>
            <w:r>
              <w:fldChar w:fldCharType="end"/>
            </w:r>
            <w:r>
              <w:rPr>
                <w:rFonts w:hint="eastAsia" w:ascii="仿宋" w:hAnsi="仿宋" w:eastAsia="仿宋" w:cs="宋体"/>
                <w:color w:val="000000" w:themeColor="text1"/>
                <w14:textFill>
                  <w14:solidFill>
                    <w14:schemeClr w14:val="tx1"/>
                  </w14:solidFill>
                </w14:textFill>
              </w:rPr>
              <w:t>之</w:t>
            </w:r>
            <w:r>
              <w:fldChar w:fldCharType="begin"/>
            </w:r>
            <w:r>
              <w:instrText xml:space="preserve"> HYPERLINK "https://baike.baidu.com/item/%E7%BA%AF%E7%8C%AE%E7%9A%87%E8%B4%B5%E5%A6%83/8128026" \t "https://baike.baidu.com/item/%E6%B7%91%E6%98%8E%E5%A5%B3%E5%AD%90%E5%A4%A7%E5%AD%A6/_blank" </w:instrText>
            </w:r>
            <w:r>
              <w:fldChar w:fldCharType="separate"/>
            </w:r>
            <w:r>
              <w:rPr>
                <w:rFonts w:hint="eastAsia" w:ascii="仿宋" w:hAnsi="仿宋" w:eastAsia="仿宋" w:cs="宋体"/>
                <w:color w:val="000000" w:themeColor="text1"/>
                <w14:textFill>
                  <w14:solidFill>
                    <w14:schemeClr w14:val="tx1"/>
                  </w14:solidFill>
                </w14:textFill>
              </w:rPr>
              <w:t>纯献皇贵妃</w:t>
            </w:r>
            <w:r>
              <w:rPr>
                <w:rFonts w:hint="eastAsia" w:ascii="仿宋" w:hAnsi="仿宋" w:eastAsia="仿宋" w:cs="宋体"/>
                <w:color w:val="000000" w:themeColor="text1"/>
                <w14:textFill>
                  <w14:solidFill>
                    <w14:schemeClr w14:val="tx1"/>
                  </w14:solidFill>
                </w14:textFill>
              </w:rPr>
              <w:fldChar w:fldCharType="end"/>
            </w:r>
            <w:r>
              <w:rPr>
                <w:rFonts w:hint="eastAsia" w:ascii="仿宋" w:hAnsi="仿宋" w:eastAsia="仿宋" w:cs="宋体"/>
                <w:color w:val="000000" w:themeColor="text1"/>
                <w14:textFill>
                  <w14:solidFill>
                    <w14:schemeClr w14:val="tx1"/>
                  </w14:solidFill>
                </w14:textFill>
              </w:rPr>
              <w:t>亲自设立的大学，是国内首次创建的民族女性私立学府。</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淑明女子大学建校以来以唤醒培养女性所具备的潜在力量和品行兼备的女性领导者为己任。淑明女子大学是韩国的私立综合女性大学，是韩国最早的女性教育机构。</w:t>
            </w:r>
          </w:p>
        </w:tc>
      </w:tr>
      <w:tr>
        <w:trPr>
          <w:trHeight w:val="671"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color w:val="000000"/>
          <w:sz w:val="36"/>
          <w:szCs w:val="36"/>
          <w14:textFill>
            <w14:solidFill>
              <w14:srgbClr w14:val="000000">
                <w14:lumMod w14:val="75000"/>
                <w14:lumOff w14:val="25000"/>
              </w14:srgbClr>
            </w14:solidFill>
          </w14:textFill>
        </w:rPr>
      </w:pPr>
    </w:p>
    <w:p>
      <w:pPr>
        <w:pStyle w:val="4"/>
        <w:ind w:firstLine="3253" w:firstLineChars="900"/>
        <w:rPr>
          <w:rFonts w:hint="eastAsia" w:ascii="仿宋" w:hAnsi="仿宋" w:eastAsia="仿宋"/>
          <w:color w:val="000000"/>
          <w:sz w:val="36"/>
          <w:szCs w:val="36"/>
          <w14:textFill>
            <w14:solidFill>
              <w14:srgbClr w14:val="000000">
                <w14:lumMod w14:val="75000"/>
                <w14:lumOff w14:val="25000"/>
              </w14:srgbClr>
            </w14:solidFill>
          </w14:textFill>
        </w:rPr>
      </w:pPr>
    </w:p>
    <w:p>
      <w:pPr>
        <w:pStyle w:val="4"/>
        <w:ind w:firstLine="3253" w:firstLineChars="900"/>
        <w:rPr>
          <w:rFonts w:hint="eastAsia" w:ascii="仿宋" w:hAnsi="仿宋" w:eastAsia="仿宋"/>
          <w:color w:val="000000"/>
          <w:sz w:val="36"/>
          <w:szCs w:val="36"/>
          <w14:textFill>
            <w14:solidFill>
              <w14:srgbClr w14:val="000000">
                <w14:lumMod w14:val="75000"/>
                <w14:lumOff w14:val="25000"/>
              </w14:srgbClr>
            </w14:solidFill>
          </w14:textFill>
        </w:rPr>
      </w:pPr>
    </w:p>
    <w:p>
      <w:pPr>
        <w:rPr>
          <w:rFonts w:hint="eastAsia" w:ascii="仿宋" w:hAnsi="仿宋" w:eastAsia="仿宋"/>
          <w:color w:val="000000"/>
          <w:sz w:val="36"/>
          <w:szCs w:val="36"/>
          <w14:textFill>
            <w14:solidFill>
              <w14:srgbClr w14:val="000000">
                <w14:lumMod w14:val="75000"/>
                <w14:lumOff w14:val="25000"/>
              </w14:srgbClr>
            </w14:solidFill>
          </w14:textFill>
        </w:rPr>
      </w:pPr>
    </w:p>
    <w:p>
      <w:pPr>
        <w:rPr>
          <w:rFonts w:hint="eastAsia" w:ascii="仿宋" w:hAnsi="仿宋" w:eastAsia="仿宋"/>
          <w:color w:val="000000"/>
          <w:sz w:val="36"/>
          <w:szCs w:val="36"/>
          <w14:textFill>
            <w14:solidFill>
              <w14:srgbClr w14:val="000000">
                <w14:lumMod w14:val="75000"/>
                <w14:lumOff w14:val="25000"/>
              </w14:srgbClr>
            </w14:solidFill>
          </w14:textFill>
        </w:rPr>
      </w:pPr>
    </w:p>
    <w:p>
      <w:pPr>
        <w:pStyle w:val="4"/>
        <w:jc w:val="center"/>
        <w:rPr>
          <w:rFonts w:hint="eastAsia" w:ascii="仿宋" w:hAnsi="仿宋" w:eastAsia="仿宋"/>
          <w:color w:val="000000"/>
          <w:sz w:val="36"/>
          <w:szCs w:val="36"/>
          <w14:textFill>
            <w14:solidFill>
              <w14:srgbClr w14:val="000000">
                <w14:lumMod w14:val="75000"/>
                <w14:lumOff w14:val="25000"/>
              </w14:srgbClr>
            </w14:solidFill>
          </w14:textFill>
        </w:rPr>
      </w:pPr>
      <w:bookmarkStart w:id="25" w:name="_Toc30839"/>
      <w:bookmarkStart w:id="26" w:name="_Toc239324139"/>
      <w:r>
        <w:rPr>
          <w:rFonts w:hint="eastAsia" w:ascii="仿宋" w:hAnsi="仿宋" w:eastAsia="仿宋"/>
          <w:color w:val="000000"/>
          <w:sz w:val="36"/>
          <w:szCs w:val="36"/>
          <w14:textFill>
            <w14:solidFill>
              <w14:srgbClr w14:val="000000">
                <w14:lumMod w14:val="75000"/>
                <w14:lumOff w14:val="25000"/>
              </w14:srgbClr>
            </w14:solidFill>
          </w14:textFill>
        </w:rPr>
        <w:t>韩国祥明大学</w:t>
      </w:r>
      <w:bookmarkEnd w:id="25"/>
      <w:bookmarkEnd w:id="26"/>
    </w:p>
    <w:tbl>
      <w:tblPr>
        <w:tblStyle w:val="30"/>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1"/>
        <w:gridCol w:w="6504"/>
      </w:tblGrid>
      <w:tr>
        <w:trPr>
          <w:trHeight w:val="720" w:hRule="atLeast"/>
        </w:trPr>
        <w:tc>
          <w:tcPr>
            <w:tcW w:w="1991" w:type="dxa"/>
            <w:vAlign w:val="center"/>
          </w:tcPr>
          <w:p>
            <w:pPr>
              <w:pStyle w:val="27"/>
              <w:widowControl/>
              <w:rPr>
                <w:rFonts w:hint="eastAsia" w:ascii="仿宋" w:hAnsi="仿宋" w:eastAsia="仿宋" w:cs="宋体"/>
                <w:bCs/>
              </w:rPr>
            </w:pPr>
            <w:r>
              <w:rPr>
                <w:rFonts w:hint="eastAsia" w:ascii="仿宋" w:hAnsi="仿宋" w:eastAsia="仿宋" w:cs="宋体"/>
                <w:b/>
              </w:rPr>
              <w:t>项目内容</w:t>
            </w:r>
          </w:p>
        </w:tc>
        <w:tc>
          <w:tcPr>
            <w:tcW w:w="6504" w:type="dxa"/>
            <w:vAlign w:val="center"/>
          </w:tcPr>
          <w:p>
            <w:pPr>
              <w:pStyle w:val="27"/>
              <w:widowControl/>
              <w:shd w:val="clear" w:color="auto" w:fill="FFFFFF"/>
              <w:rPr>
                <w:rFonts w:hint="eastAsia" w:ascii="仿宋" w:hAnsi="仿宋" w:eastAsia="仿宋" w:cs="宋体"/>
                <w:bCs/>
                <w:spacing w:val="8"/>
              </w:rPr>
            </w:pPr>
            <w:r>
              <w:rPr>
                <w:rFonts w:hint="eastAsia" w:ascii="仿宋" w:hAnsi="仿宋" w:eastAsia="仿宋" w:cs="宋体"/>
                <w:shd w:val="clear" w:color="auto" w:fill="FFFFFF"/>
              </w:rPr>
              <w:t>每年选派2名优秀本科生或研究生到对方进行一学期或一学年的学习。学习结束后，可将相关学分转换回我校。</w:t>
            </w:r>
          </w:p>
        </w:tc>
      </w:tr>
      <w:tr>
        <w:trPr>
          <w:trHeight w:val="720" w:hRule="atLeast"/>
        </w:trPr>
        <w:tc>
          <w:tcPr>
            <w:tcW w:w="1991" w:type="dxa"/>
            <w:vAlign w:val="center"/>
          </w:tcPr>
          <w:p>
            <w:pPr>
              <w:pStyle w:val="27"/>
              <w:widowControl/>
              <w:rPr>
                <w:rFonts w:hint="eastAsia" w:ascii="仿宋" w:hAnsi="仿宋" w:eastAsia="仿宋" w:cs="宋体"/>
                <w:bCs/>
              </w:rPr>
            </w:pPr>
            <w:r>
              <w:rPr>
                <w:rFonts w:hint="eastAsia" w:ascii="仿宋" w:hAnsi="仿宋" w:eastAsia="仿宋" w:cs="宋体"/>
                <w:b/>
              </w:rPr>
              <w:t>选派专业</w:t>
            </w:r>
          </w:p>
        </w:tc>
        <w:tc>
          <w:tcPr>
            <w:tcW w:w="6504" w:type="dxa"/>
            <w:vAlign w:val="center"/>
          </w:tcPr>
          <w:p>
            <w:pPr>
              <w:pStyle w:val="27"/>
              <w:shd w:val="clear" w:color="auto" w:fill="FFFFFF"/>
              <w:rPr>
                <w:rFonts w:hint="eastAsia" w:ascii="仿宋" w:hAnsi="仿宋" w:eastAsia="仿宋" w:cs="宋体"/>
                <w:bCs/>
                <w:spacing w:val="8"/>
              </w:rPr>
            </w:pPr>
            <w:r>
              <w:rPr>
                <w:rFonts w:hint="eastAsia" w:ascii="仿宋" w:hAnsi="仿宋" w:eastAsia="仿宋" w:cs="宋体"/>
                <w:bCs/>
              </w:rPr>
              <w:t>专业不限。外方为留学生开设收费韩语学习课程详情请参考http://cklc.smu.ac.kr/</w:t>
            </w:r>
          </w:p>
        </w:tc>
      </w:tr>
      <w:tr>
        <w:trPr>
          <w:trHeight w:val="720" w:hRule="atLeast"/>
        </w:trPr>
        <w:tc>
          <w:tcPr>
            <w:tcW w:w="1991" w:type="dxa"/>
            <w:vAlign w:val="center"/>
          </w:tcPr>
          <w:p>
            <w:pPr>
              <w:pStyle w:val="27"/>
              <w:widowControl/>
              <w:rPr>
                <w:rFonts w:hint="eastAsia" w:ascii="仿宋" w:hAnsi="仿宋" w:eastAsia="仿宋" w:cs="宋体"/>
                <w:bCs/>
              </w:rPr>
            </w:pPr>
            <w:r>
              <w:rPr>
                <w:rFonts w:hint="eastAsia" w:ascii="仿宋" w:hAnsi="仿宋" w:eastAsia="仿宋" w:cs="宋体"/>
                <w:b/>
              </w:rPr>
              <w:t>选派类别</w:t>
            </w:r>
          </w:p>
        </w:tc>
        <w:tc>
          <w:tcPr>
            <w:tcW w:w="6504" w:type="dxa"/>
            <w:vAlign w:val="center"/>
          </w:tcPr>
          <w:p>
            <w:pPr>
              <w:pStyle w:val="27"/>
              <w:shd w:val="clear" w:color="auto" w:fill="FFFFFF"/>
              <w:rPr>
                <w:rFonts w:hint="eastAsia" w:ascii="仿宋" w:hAnsi="仿宋" w:eastAsia="仿宋" w:cs="宋体"/>
                <w:bCs/>
              </w:rPr>
            </w:pPr>
            <w:r>
              <w:rPr>
                <w:rFonts w:hint="eastAsia" w:ascii="仿宋" w:hAnsi="仿宋" w:eastAsia="仿宋" w:cs="宋体"/>
              </w:rPr>
              <w:t>申请时为大二或大三全日制在读本科生</w:t>
            </w:r>
          </w:p>
        </w:tc>
      </w:tr>
      <w:tr>
        <w:trPr>
          <w:trHeight w:val="720" w:hRule="atLeast"/>
        </w:trPr>
        <w:tc>
          <w:tcPr>
            <w:tcW w:w="1991" w:type="dxa"/>
            <w:vAlign w:val="center"/>
          </w:tcPr>
          <w:p>
            <w:pPr>
              <w:pStyle w:val="27"/>
              <w:widowControl/>
              <w:rPr>
                <w:rFonts w:hint="eastAsia" w:ascii="仿宋" w:hAnsi="仿宋" w:eastAsia="仿宋" w:cs="宋体"/>
                <w:bCs/>
              </w:rPr>
            </w:pPr>
            <w:r>
              <w:rPr>
                <w:rFonts w:hint="eastAsia" w:ascii="仿宋" w:hAnsi="仿宋" w:eastAsia="仿宋" w:cs="宋体"/>
                <w:b/>
              </w:rPr>
              <w:t>选派人数</w:t>
            </w:r>
          </w:p>
        </w:tc>
        <w:tc>
          <w:tcPr>
            <w:tcW w:w="6504" w:type="dxa"/>
            <w:vAlign w:val="center"/>
          </w:tcPr>
          <w:p>
            <w:pPr>
              <w:pStyle w:val="27"/>
              <w:shd w:val="clear" w:color="auto" w:fill="FFFFFF"/>
              <w:rPr>
                <w:rFonts w:hint="eastAsia" w:ascii="仿宋" w:hAnsi="仿宋" w:eastAsia="仿宋" w:cs="宋体"/>
                <w:bCs/>
                <w:spacing w:val="8"/>
              </w:rPr>
            </w:pPr>
            <w:r>
              <w:rPr>
                <w:rFonts w:hint="eastAsia" w:ascii="仿宋" w:hAnsi="仿宋" w:eastAsia="仿宋" w:cs="宋体"/>
                <w:bCs/>
                <w:spacing w:val="8"/>
              </w:rPr>
              <w:t>2个免学费名额</w:t>
            </w:r>
          </w:p>
        </w:tc>
      </w:tr>
      <w:tr>
        <w:trPr>
          <w:trHeight w:val="720" w:hRule="atLeast"/>
        </w:trPr>
        <w:tc>
          <w:tcPr>
            <w:tcW w:w="1991" w:type="dxa"/>
            <w:vAlign w:val="center"/>
          </w:tcPr>
          <w:p>
            <w:pPr>
              <w:pStyle w:val="27"/>
              <w:widowControl/>
              <w:rPr>
                <w:rFonts w:hint="eastAsia" w:ascii="仿宋" w:hAnsi="仿宋" w:eastAsia="仿宋" w:cs="宋体"/>
                <w:bCs/>
              </w:rPr>
            </w:pPr>
            <w:r>
              <w:rPr>
                <w:rFonts w:hint="eastAsia" w:ascii="仿宋" w:hAnsi="仿宋" w:eastAsia="仿宋" w:cs="宋体"/>
                <w:b/>
              </w:rPr>
              <w:t>交流期限</w:t>
            </w:r>
          </w:p>
        </w:tc>
        <w:tc>
          <w:tcPr>
            <w:tcW w:w="6504" w:type="dxa"/>
            <w:vAlign w:val="center"/>
          </w:tcPr>
          <w:p>
            <w:pPr>
              <w:rPr>
                <w:rFonts w:hint="eastAsia" w:ascii="仿宋" w:hAnsi="仿宋" w:eastAsia="仿宋" w:cs="宋体"/>
                <w:bCs/>
                <w:sz w:val="24"/>
              </w:rPr>
            </w:pPr>
            <w:r>
              <w:rPr>
                <w:rFonts w:hint="eastAsia" w:ascii="仿宋" w:hAnsi="仿宋" w:eastAsia="仿宋" w:cs="宋体"/>
                <w:bCs/>
                <w:sz w:val="24"/>
              </w:rPr>
              <w:t>1学期</w:t>
            </w:r>
          </w:p>
        </w:tc>
      </w:tr>
      <w:tr>
        <w:trPr>
          <w:trHeight w:val="720" w:hRule="atLeast"/>
        </w:trPr>
        <w:tc>
          <w:tcPr>
            <w:tcW w:w="1991" w:type="dxa"/>
            <w:vAlign w:val="center"/>
          </w:tcPr>
          <w:p>
            <w:pPr>
              <w:pStyle w:val="27"/>
              <w:widowControl/>
              <w:rPr>
                <w:rFonts w:hint="eastAsia" w:ascii="仿宋" w:hAnsi="仿宋" w:eastAsia="仿宋" w:cs="宋体"/>
                <w:bCs/>
              </w:rPr>
            </w:pPr>
            <w:r>
              <w:rPr>
                <w:rFonts w:hint="eastAsia" w:ascii="仿宋" w:hAnsi="仿宋" w:eastAsia="仿宋" w:cs="宋体"/>
                <w:b/>
              </w:rPr>
              <w:t>申请要求</w:t>
            </w:r>
          </w:p>
        </w:tc>
        <w:tc>
          <w:tcPr>
            <w:tcW w:w="6504" w:type="dxa"/>
            <w:vAlign w:val="center"/>
          </w:tcPr>
          <w:p>
            <w:pPr>
              <w:rPr>
                <w:rFonts w:hint="eastAsia" w:ascii="仿宋" w:hAnsi="仿宋" w:eastAsia="仿宋" w:cs="宋体"/>
                <w:bCs/>
                <w:sz w:val="24"/>
              </w:rPr>
            </w:pPr>
            <w:r>
              <w:rPr>
                <w:rFonts w:hint="eastAsia" w:ascii="仿宋" w:hAnsi="仿宋" w:eastAsia="仿宋" w:cs="宋体"/>
                <w:bCs/>
                <w:sz w:val="24"/>
              </w:rPr>
              <w:t>1. 热爱祖国、热爱学校，拥护祖国和平统一方针，具备国内外时事政治方面相关知识。</w:t>
            </w:r>
          </w:p>
          <w:p>
            <w:pPr>
              <w:rPr>
                <w:rFonts w:hint="eastAsia" w:ascii="仿宋" w:hAnsi="仿宋" w:eastAsia="仿宋" w:cs="宋体"/>
                <w:bCs/>
                <w:sz w:val="24"/>
              </w:rPr>
            </w:pPr>
            <w:r>
              <w:rPr>
                <w:rFonts w:hint="eastAsia" w:ascii="仿宋" w:hAnsi="仿宋" w:eastAsia="仿宋" w:cs="宋体"/>
                <w:bCs/>
                <w:sz w:val="24"/>
              </w:rPr>
              <w:t>2. 德、智、体全面发展，综合素质良好。</w:t>
            </w:r>
          </w:p>
          <w:p>
            <w:pPr>
              <w:rPr>
                <w:rFonts w:hint="eastAsia" w:ascii="仿宋" w:hAnsi="仿宋" w:eastAsia="仿宋" w:cs="宋体"/>
                <w:bCs/>
                <w:sz w:val="24"/>
              </w:rPr>
            </w:pPr>
            <w:r>
              <w:rPr>
                <w:rFonts w:hint="eastAsia" w:ascii="仿宋" w:hAnsi="仿宋" w:eastAsia="仿宋" w:cs="宋体"/>
                <w:bCs/>
                <w:sz w:val="24"/>
              </w:rPr>
              <w:t>3. 成绩要求: 学分绩点3.0及以上。</w:t>
            </w:r>
          </w:p>
          <w:p>
            <w:pPr>
              <w:rPr>
                <w:rFonts w:hint="eastAsia" w:ascii="仿宋" w:hAnsi="仿宋" w:eastAsia="仿宋" w:cs="宋体"/>
                <w:bCs/>
                <w:sz w:val="24"/>
              </w:rPr>
            </w:pPr>
            <w:r>
              <w:rPr>
                <w:rFonts w:hint="eastAsia" w:ascii="仿宋" w:hAnsi="仿宋" w:eastAsia="仿宋" w:cs="宋体"/>
                <w:bCs/>
                <w:sz w:val="24"/>
              </w:rPr>
              <w:t>4. 外语要求：建议提供相关外语成绩证明</w:t>
            </w:r>
          </w:p>
        </w:tc>
      </w:tr>
      <w:tr>
        <w:trPr>
          <w:trHeight w:val="720" w:hRule="atLeast"/>
        </w:trPr>
        <w:tc>
          <w:tcPr>
            <w:tcW w:w="1991" w:type="dxa"/>
            <w:vAlign w:val="center"/>
          </w:tcPr>
          <w:p>
            <w:pPr>
              <w:pStyle w:val="27"/>
              <w:widowControl/>
              <w:rPr>
                <w:rFonts w:hint="eastAsia" w:ascii="仿宋" w:hAnsi="仿宋" w:eastAsia="仿宋" w:cs="宋体"/>
                <w:bCs/>
              </w:rPr>
            </w:pPr>
            <w:r>
              <w:rPr>
                <w:rFonts w:hint="eastAsia" w:ascii="仿宋" w:hAnsi="仿宋" w:eastAsia="仿宋" w:cs="宋体"/>
                <w:b/>
              </w:rPr>
              <w:t>院校简介</w:t>
            </w:r>
          </w:p>
        </w:tc>
        <w:tc>
          <w:tcPr>
            <w:tcW w:w="6504" w:type="dxa"/>
            <w:vAlign w:val="center"/>
          </w:tcPr>
          <w:p>
            <w:pPr>
              <w:pStyle w:val="27"/>
              <w:shd w:val="clear" w:color="auto" w:fill="FFFFFF"/>
              <w:rPr>
                <w:rFonts w:hint="eastAsia" w:ascii="仿宋" w:hAnsi="仿宋" w:eastAsia="仿宋" w:cs="宋体"/>
                <w:bCs/>
                <w:spacing w:val="8"/>
              </w:rPr>
            </w:pPr>
            <w:r>
              <w:rPr>
                <w:rFonts w:hint="eastAsia" w:ascii="仿宋" w:hAnsi="仿宋" w:eastAsia="仿宋" w:cs="宋体"/>
                <w:bCs/>
                <w:spacing w:val="8"/>
              </w:rPr>
              <w:t>韩国祥明大学成立于1937年，是一所注重人文科学、自然科学、艺术科学、体育科学相结合的韩国著名综合性大学。祥明大学先后被选定为“韩国教育部ACE教学先导事业团”、“韩国CK特性化7大事业团”、“韩国大学ICT研究中心”。在2016年韩国“中央日报”大学排名中，祥明大学位列全国23位。祥明大学作为注重科学技术和现代化教育改革的先进性综合知名私立大学，分别于首尔市和天安市设立校区。</w:t>
            </w:r>
          </w:p>
        </w:tc>
      </w:tr>
    </w:tbl>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71" w:hRule="atLeast"/>
        </w:trPr>
        <w:tc>
          <w:tcPr>
            <w:tcW w:w="1985" w:type="dxa"/>
            <w:vAlign w:val="center"/>
          </w:tcPr>
          <w:p>
            <w:pPr>
              <w:pStyle w:val="27"/>
              <w:widowControl/>
              <w:rPr>
                <w:rFonts w:hint="eastAsia" w:ascii="仿宋" w:hAnsi="仿宋" w:eastAsia="仿宋" w:cs="宋体"/>
              </w:rPr>
            </w:pPr>
            <w:r>
              <w:rPr>
                <w:rFonts w:hint="eastAsia" w:ascii="仿宋" w:hAnsi="仿宋" w:eastAsia="仿宋" w:cs="宋体"/>
                <w:b/>
              </w:rPr>
              <w:t>报名咨询方式</w:t>
            </w:r>
          </w:p>
        </w:tc>
        <w:tc>
          <w:tcPr>
            <w:tcW w:w="6515" w:type="dxa"/>
            <w:vAlign w:val="center"/>
          </w:tcPr>
          <w:p>
            <w:pPr>
              <w:rPr>
                <w:rFonts w:hint="eastAsia" w:ascii="仿宋" w:hAnsi="仿宋" w:eastAsia="仿宋" w:cs="宋体"/>
                <w:sz w:val="24"/>
              </w:rPr>
            </w:pPr>
            <w:r>
              <w:rPr>
                <w:rFonts w:hint="eastAsia" w:ascii="仿宋" w:hAnsi="仿宋" w:eastAsia="仿宋" w:cs="宋体"/>
                <w:sz w:val="24"/>
              </w:rPr>
              <w:t>北京校部</w:t>
            </w:r>
          </w:p>
          <w:p>
            <w:pPr>
              <w:rPr>
                <w:rFonts w:hint="eastAsia" w:ascii="仿宋" w:hAnsi="仿宋" w:eastAsia="仿宋" w:cs="宋体"/>
                <w:sz w:val="24"/>
                <w:lang w:eastAsia="zh-Hans"/>
              </w:rPr>
            </w:pPr>
            <w:r>
              <w:rPr>
                <w:rFonts w:hint="eastAsia" w:ascii="仿宋" w:hAnsi="仿宋" w:eastAsia="仿宋" w:cs="宋体"/>
                <w:sz w:val="24"/>
              </w:rPr>
              <w:t>联系人：</w:t>
            </w:r>
            <w:r>
              <w:rPr>
                <w:rFonts w:hint="eastAsia" w:ascii="仿宋" w:hAnsi="仿宋" w:eastAsia="仿宋" w:cs="宋体"/>
                <w:sz w:val="24"/>
                <w:lang w:eastAsia="zh-Hans"/>
              </w:rPr>
              <w:t>任楚颐</w:t>
            </w:r>
          </w:p>
          <w:p>
            <w:pPr>
              <w:rPr>
                <w:rFonts w:hint="eastAsia" w:ascii="仿宋" w:hAnsi="仿宋" w:eastAsia="仿宋" w:cs="宋体"/>
                <w:sz w:val="24"/>
              </w:rPr>
            </w:pPr>
            <w:r>
              <w:rPr>
                <w:rFonts w:hint="eastAsia" w:ascii="仿宋" w:hAnsi="仿宋" w:eastAsia="仿宋" w:cs="宋体"/>
                <w:sz w:val="24"/>
              </w:rPr>
              <w:t>电话：010-61772342</w:t>
            </w:r>
          </w:p>
          <w:p>
            <w:pPr>
              <w:rPr>
                <w:rFonts w:hint="eastAsia" w:ascii="仿宋" w:hAnsi="仿宋" w:eastAsia="仿宋" w:cs="宋体"/>
                <w:sz w:val="24"/>
              </w:rPr>
            </w:pPr>
            <w:r>
              <w:rPr>
                <w:rFonts w:hint="eastAsia" w:ascii="仿宋" w:hAnsi="仿宋" w:eastAsia="仿宋" w:cs="宋体"/>
                <w:sz w:val="24"/>
              </w:rPr>
              <w:t>地点：主D837</w:t>
            </w:r>
          </w:p>
          <w:p>
            <w:pPr>
              <w:rPr>
                <w:rFonts w:hint="eastAsia" w:ascii="仿宋" w:hAnsi="仿宋" w:eastAsia="仿宋" w:cs="宋体"/>
                <w:sz w:val="24"/>
              </w:rPr>
            </w:pPr>
            <w:r>
              <w:rPr>
                <w:rFonts w:hint="eastAsia" w:ascii="仿宋" w:hAnsi="仿宋" w:eastAsia="仿宋" w:cs="宋体"/>
                <w:sz w:val="24"/>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sz w:val="24"/>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color w:val="000000"/>
          <w:sz w:val="36"/>
          <w:szCs w:val="36"/>
          <w14:textFill>
            <w14:solidFill>
              <w14:srgbClr w14:val="000000">
                <w14:lumMod w14:val="75000"/>
                <w14:lumOff w14:val="25000"/>
              </w14:srgbClr>
            </w14:solidFill>
          </w14:textFill>
        </w:rPr>
      </w:pPr>
    </w:p>
    <w:p>
      <w:pPr>
        <w:rPr>
          <w:rFonts w:hint="eastAsia" w:ascii="仿宋" w:hAnsi="仿宋" w:eastAsia="仿宋"/>
          <w:color w:val="000000"/>
          <w:sz w:val="36"/>
          <w:szCs w:val="36"/>
          <w14:textFill>
            <w14:solidFill>
              <w14:srgbClr w14:val="000000">
                <w14:lumMod w14:val="75000"/>
                <w14:lumOff w14:val="25000"/>
              </w14:srgbClr>
            </w14:solidFill>
          </w14:textFill>
        </w:rPr>
      </w:pPr>
    </w:p>
    <w:p>
      <w:pPr>
        <w:pStyle w:val="4"/>
        <w:jc w:val="center"/>
        <w:rPr>
          <w:rFonts w:hint="eastAsia" w:ascii="仿宋" w:hAnsi="仿宋" w:eastAsia="仿宋"/>
          <w:color w:val="000000"/>
          <w:sz w:val="36"/>
          <w:szCs w:val="36"/>
          <w14:textFill>
            <w14:solidFill>
              <w14:srgbClr w14:val="000000">
                <w14:lumMod w14:val="75000"/>
                <w14:lumOff w14:val="25000"/>
              </w14:srgbClr>
            </w14:solidFill>
          </w14:textFill>
        </w:rPr>
      </w:pPr>
    </w:p>
    <w:p>
      <w:pPr>
        <w:pStyle w:val="4"/>
        <w:jc w:val="center"/>
        <w:rPr>
          <w:rFonts w:hint="eastAsia" w:ascii="仿宋" w:hAnsi="仿宋" w:eastAsia="仿宋"/>
          <w:color w:val="000000"/>
          <w:sz w:val="36"/>
          <w:szCs w:val="36"/>
          <w14:textFill>
            <w14:solidFill>
              <w14:srgbClr w14:val="000000">
                <w14:lumMod w14:val="75000"/>
                <w14:lumOff w14:val="25000"/>
              </w14:srgbClr>
            </w14:solidFill>
          </w14:textFill>
        </w:rPr>
      </w:pPr>
      <w:bookmarkStart w:id="27" w:name="_Toc239324140"/>
      <w:bookmarkStart w:id="28" w:name="_Toc19262"/>
      <w:r>
        <w:rPr>
          <w:rFonts w:hint="eastAsia" w:ascii="仿宋" w:hAnsi="仿宋" w:eastAsia="仿宋"/>
          <w:color w:val="000000"/>
          <w:sz w:val="36"/>
          <w:szCs w:val="36"/>
          <w14:textFill>
            <w14:solidFill>
              <w14:srgbClr w14:val="000000">
                <w14:lumMod w14:val="75000"/>
                <w14:lumOff w14:val="25000"/>
              </w14:srgbClr>
            </w14:solidFill>
          </w14:textFill>
        </w:rPr>
        <w:t>韩国光云大学</w:t>
      </w:r>
      <w:bookmarkEnd w:id="27"/>
      <w:bookmarkEnd w:id="28"/>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rPr>
            </w:pPr>
            <w:r>
              <w:rPr>
                <w:rFonts w:hint="eastAsia" w:ascii="仿宋" w:hAnsi="仿宋" w:eastAsia="仿宋" w:cs="宋体"/>
                <w:b/>
                <w:shd w:val="clear" w:color="auto" w:fill="FFFFFF"/>
              </w:rPr>
              <w:t>项目内容</w:t>
            </w:r>
          </w:p>
        </w:tc>
        <w:tc>
          <w:tcPr>
            <w:tcW w:w="6515" w:type="dxa"/>
          </w:tcPr>
          <w:p>
            <w:pPr>
              <w:pStyle w:val="27"/>
              <w:widowControl/>
              <w:rPr>
                <w:rFonts w:hint="eastAsia" w:ascii="仿宋" w:hAnsi="仿宋" w:eastAsia="仿宋" w:cs="宋体"/>
              </w:rPr>
            </w:pPr>
            <w:r>
              <w:rPr>
                <w:rFonts w:hint="eastAsia" w:ascii="仿宋" w:hAnsi="仿宋" w:eastAsia="仿宋" w:cs="宋体"/>
                <w:shd w:val="clear" w:color="auto" w:fill="FFFFFF"/>
              </w:rPr>
              <w:t>每学期选派2名优秀本科生进行交流学习。学习结束后，学生可将相关学分转换回我校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rPr>
            </w:pPr>
            <w:r>
              <w:rPr>
                <w:rFonts w:hint="eastAsia" w:ascii="仿宋" w:hAnsi="仿宋" w:eastAsia="仿宋" w:cs="宋体"/>
                <w:b/>
              </w:rPr>
              <w:t>选派专业</w:t>
            </w:r>
          </w:p>
        </w:tc>
        <w:tc>
          <w:tcPr>
            <w:tcW w:w="6515" w:type="dxa"/>
          </w:tcPr>
          <w:p>
            <w:pPr>
              <w:pStyle w:val="27"/>
              <w:widowControl/>
              <w:rPr>
                <w:rFonts w:hint="eastAsia" w:ascii="仿宋" w:hAnsi="仿宋" w:eastAsia="仿宋" w:cs="宋体"/>
              </w:rPr>
            </w:pPr>
            <w:r>
              <w:rPr>
                <w:rFonts w:hint="eastAsia" w:ascii="仿宋" w:hAnsi="仿宋" w:eastAsia="仿宋" w:cs="宋体"/>
              </w:rPr>
              <w:t>不限</w:t>
            </w:r>
          </w:p>
        </w:tc>
      </w:tr>
      <w:tr>
        <w:trPr>
          <w:trHeight w:val="531" w:hRule="atLeast"/>
        </w:trPr>
        <w:tc>
          <w:tcPr>
            <w:tcW w:w="1985" w:type="dxa"/>
          </w:tcPr>
          <w:p>
            <w:pPr>
              <w:pStyle w:val="27"/>
              <w:widowControl/>
              <w:rPr>
                <w:rFonts w:hint="eastAsia" w:ascii="仿宋" w:hAnsi="仿宋" w:eastAsia="仿宋" w:cs="宋体"/>
                <w:b/>
              </w:rPr>
            </w:pPr>
            <w:r>
              <w:rPr>
                <w:rFonts w:hint="eastAsia" w:ascii="仿宋" w:hAnsi="仿宋" w:eastAsia="仿宋" w:cs="宋体"/>
                <w:b/>
              </w:rPr>
              <w:t>选派类别</w:t>
            </w:r>
          </w:p>
        </w:tc>
        <w:tc>
          <w:tcPr>
            <w:tcW w:w="6515" w:type="dxa"/>
          </w:tcPr>
          <w:p>
            <w:pPr>
              <w:pStyle w:val="27"/>
              <w:widowControl/>
              <w:rPr>
                <w:rFonts w:hint="eastAsia" w:ascii="仿宋" w:hAnsi="仿宋" w:eastAsia="仿宋" w:cs="宋体"/>
              </w:rPr>
            </w:pPr>
            <w:r>
              <w:rPr>
                <w:rFonts w:hint="eastAsia" w:ascii="仿宋" w:hAnsi="仿宋" w:eastAsia="仿宋" w:cs="宋体"/>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rPr>
            </w:pPr>
            <w:r>
              <w:rPr>
                <w:rFonts w:hint="eastAsia" w:ascii="仿宋" w:hAnsi="仿宋" w:eastAsia="仿宋" w:cs="宋体"/>
                <w:b/>
              </w:rPr>
              <w:t>选派人数</w:t>
            </w:r>
          </w:p>
        </w:tc>
        <w:tc>
          <w:tcPr>
            <w:tcW w:w="6515" w:type="dxa"/>
          </w:tcPr>
          <w:p>
            <w:pPr>
              <w:pStyle w:val="27"/>
              <w:widowControl/>
              <w:rPr>
                <w:rFonts w:hint="eastAsia" w:ascii="仿宋" w:hAnsi="仿宋" w:eastAsia="仿宋" w:cs="宋体"/>
              </w:rPr>
            </w:pPr>
            <w:r>
              <w:rPr>
                <w:rFonts w:hint="eastAsia" w:ascii="仿宋" w:hAnsi="仿宋" w:eastAsia="仿宋" w:cs="宋体"/>
              </w:rPr>
              <w:t>2</w:t>
            </w:r>
          </w:p>
        </w:tc>
      </w:tr>
      <w:tr>
        <w:trPr>
          <w:trHeight w:val="531" w:hRule="atLeast"/>
        </w:trPr>
        <w:tc>
          <w:tcPr>
            <w:tcW w:w="1985" w:type="dxa"/>
          </w:tcPr>
          <w:p>
            <w:pPr>
              <w:pStyle w:val="27"/>
              <w:widowControl/>
              <w:rPr>
                <w:rFonts w:hint="eastAsia" w:ascii="仿宋" w:hAnsi="仿宋" w:eastAsia="仿宋" w:cs="宋体"/>
                <w:b/>
              </w:rPr>
            </w:pPr>
            <w:r>
              <w:rPr>
                <w:rFonts w:hint="eastAsia" w:ascii="仿宋" w:hAnsi="仿宋" w:eastAsia="仿宋" w:cs="宋体"/>
                <w:b/>
              </w:rPr>
              <w:t>交流期限</w:t>
            </w:r>
          </w:p>
        </w:tc>
        <w:tc>
          <w:tcPr>
            <w:tcW w:w="6515" w:type="dxa"/>
          </w:tcPr>
          <w:p>
            <w:pPr>
              <w:pStyle w:val="27"/>
              <w:widowControl/>
              <w:rPr>
                <w:rFonts w:hint="eastAsia" w:ascii="仿宋" w:hAnsi="仿宋" w:eastAsia="仿宋" w:cs="宋体"/>
              </w:rPr>
            </w:pPr>
            <w:r>
              <w:rPr>
                <w:rFonts w:hint="eastAsia" w:ascii="仿宋" w:hAnsi="仿宋" w:eastAsia="仿宋" w:cs="宋体"/>
              </w:rPr>
              <w:t>1学期</w:t>
            </w:r>
          </w:p>
        </w:tc>
      </w:tr>
      <w:tr>
        <w:trPr>
          <w:trHeight w:val="531" w:hRule="atLeast"/>
        </w:trPr>
        <w:tc>
          <w:tcPr>
            <w:tcW w:w="1985" w:type="dxa"/>
          </w:tcPr>
          <w:p>
            <w:pPr>
              <w:pStyle w:val="27"/>
              <w:widowControl/>
              <w:rPr>
                <w:rFonts w:hint="eastAsia" w:ascii="仿宋" w:hAnsi="仿宋" w:eastAsia="仿宋" w:cs="宋体"/>
                <w:b/>
              </w:rPr>
            </w:pPr>
            <w:r>
              <w:rPr>
                <w:rFonts w:hint="eastAsia" w:ascii="仿宋" w:hAnsi="仿宋" w:eastAsia="仿宋" w:cs="宋体"/>
                <w:b/>
              </w:rPr>
              <w:t>所需费用</w:t>
            </w:r>
          </w:p>
        </w:tc>
        <w:tc>
          <w:tcPr>
            <w:tcW w:w="6515" w:type="dxa"/>
          </w:tcPr>
          <w:p>
            <w:pPr>
              <w:pStyle w:val="27"/>
              <w:widowControl/>
              <w:rPr>
                <w:rFonts w:hint="eastAsia" w:ascii="仿宋" w:hAnsi="仿宋" w:eastAsia="仿宋" w:cs="宋体"/>
              </w:rPr>
            </w:pPr>
            <w:r>
              <w:rPr>
                <w:rFonts w:hint="eastAsia" w:ascii="仿宋" w:hAnsi="仿宋" w:eastAsia="仿宋" w:cs="宋体"/>
              </w:rPr>
              <w:t>免学费，1学期所有生活费用大约为20000人民币</w:t>
            </w:r>
          </w:p>
          <w:p>
            <w:pPr>
              <w:pStyle w:val="27"/>
              <w:widowControl/>
              <w:rPr>
                <w:rFonts w:hint="eastAsia" w:ascii="仿宋" w:hAnsi="仿宋" w:eastAsia="仿宋" w:cs="宋体"/>
              </w:rPr>
            </w:pPr>
            <w:r>
              <w:rPr>
                <w:rFonts w:hint="eastAsia" w:ascii="仿宋" w:hAnsi="仿宋" w:eastAsia="仿宋" w:cs="宋体"/>
              </w:rPr>
              <w:t>详情请咨询韩国光云大学官网https://www.kw.ac.kr/en/index.do</w:t>
            </w:r>
          </w:p>
        </w:tc>
      </w:tr>
      <w:tr>
        <w:trPr>
          <w:trHeight w:val="671" w:hRule="atLeast"/>
        </w:trPr>
        <w:tc>
          <w:tcPr>
            <w:tcW w:w="1985" w:type="dxa"/>
          </w:tcPr>
          <w:p>
            <w:pPr>
              <w:pStyle w:val="27"/>
              <w:widowControl/>
              <w:rPr>
                <w:rFonts w:hint="eastAsia" w:ascii="仿宋" w:hAnsi="仿宋" w:eastAsia="仿宋" w:cs="宋体"/>
                <w:b/>
              </w:rPr>
            </w:pPr>
            <w:r>
              <w:rPr>
                <w:rFonts w:hint="eastAsia" w:ascii="仿宋" w:hAnsi="仿宋" w:eastAsia="仿宋" w:cs="宋体"/>
                <w:b/>
              </w:rPr>
              <w:t>申请条件</w:t>
            </w:r>
          </w:p>
        </w:tc>
        <w:tc>
          <w:tcPr>
            <w:tcW w:w="6515" w:type="dxa"/>
          </w:tcPr>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（1）热爱祖国，具有良好的政治思想素质，在校期间无违法违纪记录；</w:t>
            </w:r>
          </w:p>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（2）身心健康，无不适合在外学习的疾病史；</w:t>
            </w:r>
          </w:p>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（3）品学兼优，学习成绩排名前列，综合表现突出；</w:t>
            </w:r>
          </w:p>
          <w:p>
            <w:pPr>
              <w:pStyle w:val="27"/>
              <w:widowControl/>
              <w:shd w:val="clear" w:color="auto" w:fill="FFFFFF"/>
              <w:rPr>
                <w:rFonts w:hint="eastAsia" w:ascii="仿宋" w:hAnsi="仿宋" w:eastAsia="仿宋" w:cs="宋体"/>
              </w:rPr>
            </w:pPr>
            <w:r>
              <w:rPr>
                <w:rFonts w:hint="eastAsia" w:ascii="仿宋" w:hAnsi="仿宋" w:eastAsia="仿宋" w:cs="宋体"/>
                <w:shd w:val="clear" w:color="auto" w:fill="FFFFFF"/>
              </w:rPr>
              <w:t>（4）英语托福成绩达61分或雅思5.0或TOPIK4分或修完两门韩语课程</w:t>
            </w:r>
          </w:p>
        </w:tc>
      </w:tr>
      <w:tr>
        <w:trPr>
          <w:trHeight w:val="671" w:hRule="atLeast"/>
        </w:trPr>
        <w:tc>
          <w:tcPr>
            <w:tcW w:w="1985" w:type="dxa"/>
          </w:tcPr>
          <w:p>
            <w:pPr>
              <w:pStyle w:val="27"/>
              <w:widowControl/>
              <w:rPr>
                <w:rFonts w:hint="eastAsia" w:ascii="仿宋" w:hAnsi="仿宋" w:eastAsia="仿宋" w:cs="宋体"/>
                <w:b/>
              </w:rPr>
            </w:pPr>
            <w:r>
              <w:rPr>
                <w:rFonts w:hint="eastAsia" w:ascii="仿宋" w:hAnsi="仿宋" w:eastAsia="仿宋" w:cs="宋体"/>
                <w:b/>
              </w:rPr>
              <w:t>交流院系介绍</w:t>
            </w:r>
          </w:p>
        </w:tc>
        <w:tc>
          <w:tcPr>
            <w:tcW w:w="6515" w:type="dxa"/>
          </w:tcPr>
          <w:p>
            <w:pPr>
              <w:pStyle w:val="27"/>
              <w:widowControl/>
              <w:shd w:val="clear" w:color="auto" w:fill="FFFFFF"/>
              <w:rPr>
                <w:rFonts w:hint="eastAsia" w:ascii="仿宋" w:hAnsi="仿宋" w:eastAsia="仿宋" w:cs="宋体"/>
              </w:rPr>
            </w:pPr>
            <w:r>
              <w:rPr>
                <w:rFonts w:hint="eastAsia" w:ascii="仿宋" w:hAnsi="仿宋" w:eastAsia="仿宋" w:cs="宋体"/>
                <w:spacing w:val="8"/>
                <w:shd w:val="clear" w:color="auto" w:fill="FFFFFF"/>
              </w:rPr>
              <w:t>光云大学创立于1938年，位于首尔芦原区。为韩国著名的理工科大学，在电子技术和计算机领域驰名韩国，它在韩国开创了电子工学研究的历史，同时这里也孕育了韩国第一个机器人学部（系），其学生在历届全球机器人大赛中屡次取得较好成绩。</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29" w:name="_Toc239324141"/>
      <w:bookmarkStart w:id="30" w:name="_Toc22077"/>
      <w:r>
        <w:rPr>
          <w:rFonts w:hint="eastAsia" w:ascii="仿宋" w:hAnsi="仿宋" w:eastAsia="仿宋"/>
          <w:sz w:val="36"/>
          <w:szCs w:val="36"/>
        </w:rPr>
        <w:t>韩国汉城大学</w:t>
      </w:r>
      <w:bookmarkEnd w:id="29"/>
      <w:bookmarkEnd w:id="30"/>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shd w:val="clear" w:color="auto" w:fill="FFFFFF"/>
              <w:ind w:firstLine="420"/>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每年选拔2名优秀本科生到对方进行一学期或一学年的学习。学生学习结束后，可将相关学分转换回我校。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免交学费，需交住宿费等相关费用。住宿费：约900元/月</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请咨询韩城大学官网https://www.hansung.ac.kr/web/www/home</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（4）有韩语语言成绩者优先</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汉城大学成立于1972年12月21日，1987年设置了经营行政研究生院，1988年经营研究生院和行政研究生院分离，1993年升级为综合大学。位于首尔市城北区三仙洞。是韩国大学4年制的综合性私立大学。大学的教育目标是培养具有多样性和创意性的专门人才，培养具有共同体意识和文化性素养的优秀人才，培养具有开放式的思维和国际竞争力的世界性人才。全球高校排名（4ICU）韩国大学排名第48名。学校设有本科，硕士和博士课程包括韩国语、英语、历史文化、知识情报、行政、经济、贸易、房地产、医生活、韩国舞蹈、现代舞蹈、东洋画、西洋画、视觉影像设计、装饰设计、媒体、计算机、信息通信、信息系统、产业系统、机械系统等学科构成，研究生院包括一般研究生院、经营研究生院、行政研究生院、艺术研究生院、国际研究生院、安全保健经营研究生院、数字中小企业研究生院、房地产研究生院、教育研究生院。</w:t>
            </w:r>
            <w:r>
              <w:rPr>
                <w:rFonts w:ascii="Calibri" w:hAnsi="Calibri" w:eastAsia="仿宋" w:cs="Calibri"/>
                <w:color w:val="000000" w:themeColor="text1"/>
                <w:shd w:val="clear" w:color="auto" w:fill="FFFFFF"/>
                <w14:textFill>
                  <w14:solidFill>
                    <w14:schemeClr w14:val="tx1"/>
                  </w14:solidFill>
                </w14:textFill>
              </w:rPr>
              <w:t> </w:t>
            </w:r>
          </w:p>
        </w:tc>
      </w:tr>
      <w:tr>
        <w:trPr>
          <w:trHeight w:val="671" w:hRule="atLeast"/>
        </w:trPr>
        <w:tc>
          <w:tcPr>
            <w:tcW w:w="1985" w:type="dxa"/>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31" w:name="_Toc14837"/>
      <w:bookmarkStart w:id="32" w:name="_Toc239324142"/>
      <w:r>
        <w:rPr>
          <w:rFonts w:hint="eastAsia" w:ascii="仿宋" w:hAnsi="仿宋" w:eastAsia="仿宋"/>
          <w:sz w:val="36"/>
          <w:szCs w:val="36"/>
        </w:rPr>
        <w:t>韩国韩巴大学</w:t>
      </w:r>
      <w:bookmarkEnd w:id="31"/>
      <w:bookmarkEnd w:id="32"/>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每学期选派2名优秀本科生进行交流学习。学习结束后，学生可将相关学分转换回我校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2人免学费，自费不限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免交学费，需交住宿费等其他相关费用。</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住宿费：约人民币8000/学期。</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（1)</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热爱祖国，具有良好的政治思想素质，在校期间无违法违纪记录；</w:t>
            </w:r>
          </w:p>
          <w:p>
            <w:pPr>
              <w:pStyle w:val="27"/>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（2)</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身心健康，无不适合在外学习的疾病史；</w:t>
            </w:r>
          </w:p>
          <w:p>
            <w:pPr>
              <w:pStyle w:val="27"/>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（3)</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品学兼优，学习成绩排名前列，综合表现突出；</w:t>
            </w:r>
          </w:p>
          <w:p>
            <w:pPr>
              <w:pStyle w:val="27"/>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（4)</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外语水平优秀者优先。</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（5)</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GPA2.0以上</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国立韩巴大学是韩国的一所综合性大学以“诚实、仁和、创造”为校训，1927年4月建校，2001年3月更名为韩巴大学校。学校由机械工程，机械设计工程，电气，电子，控制，土木，环境，都市工学专业，建筑，应用材料，材料，生产加工，计算机，信息通信，媒体，电波，应用化学，生命，产业经营，化学，建筑设备，视觉设计，工业设计，英语，中国语，日语，经营，经济，会计等学科及专业构成，研究生院包括一般研究学院，产业研究生院，信息通信专科研究生院，创业经营研究生院，配套设施有教学楼，图书馆，电算信息院，大学广播社，国际交流院，工学教育中心等。</w:t>
            </w:r>
          </w:p>
        </w:tc>
      </w:tr>
      <w:tr>
        <w:trPr>
          <w:trHeight w:val="671" w:hRule="atLeast"/>
        </w:trPr>
        <w:tc>
          <w:tcPr>
            <w:tcW w:w="1985" w:type="dxa"/>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pStyle w:val="29"/>
        <w:jc w:val="both"/>
        <w:rPr>
          <w:rFonts w:hint="eastAsia" w:ascii="仿宋" w:hAnsi="仿宋" w:eastAsia="仿宋"/>
          <w:sz w:val="40"/>
        </w:rPr>
      </w:pPr>
    </w:p>
    <w:p/>
    <w:p>
      <w:pPr>
        <w:pStyle w:val="29"/>
        <w:rPr>
          <w:rFonts w:hint="eastAsia" w:ascii="仿宋" w:hAnsi="仿宋" w:eastAsia="仿宋"/>
          <w:sz w:val="40"/>
        </w:rPr>
      </w:pPr>
      <w:bookmarkStart w:id="33" w:name="_Toc30548"/>
      <w:bookmarkStart w:id="34" w:name="_Toc239324143"/>
      <w:r>
        <w:rPr>
          <w:rFonts w:hint="eastAsia" w:ascii="仿宋" w:hAnsi="仿宋" w:eastAsia="仿宋"/>
          <w:sz w:val="40"/>
        </w:rPr>
        <w:t>自费项目</w:t>
      </w:r>
      <w:bookmarkEnd w:id="33"/>
      <w:bookmarkEnd w:id="34"/>
    </w:p>
    <w:p>
      <w:pPr>
        <w:pStyle w:val="4"/>
        <w:jc w:val="center"/>
        <w:rPr>
          <w:rFonts w:hint="eastAsia" w:ascii="仿宋" w:hAnsi="仿宋" w:eastAsia="仿宋"/>
          <w:sz w:val="36"/>
          <w:szCs w:val="36"/>
        </w:rPr>
      </w:pPr>
      <w:bookmarkStart w:id="35" w:name="_Toc10888"/>
      <w:bookmarkStart w:id="36" w:name="_Toc239324144"/>
      <w:r>
        <w:rPr>
          <w:rFonts w:hint="eastAsia" w:ascii="仿宋" w:hAnsi="仿宋" w:eastAsia="仿宋"/>
          <w:sz w:val="36"/>
          <w:szCs w:val="36"/>
        </w:rPr>
        <w:t>捷克技术大学</w:t>
      </w:r>
      <w:bookmarkEnd w:id="35"/>
      <w:bookmarkEnd w:id="36"/>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46"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rPr>
              <w:t>电气与电子工程学院</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49"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学费每学期约为</w:t>
            </w:r>
            <w:r>
              <w:rPr>
                <w:rFonts w:ascii="仿宋" w:hAnsi="仿宋" w:eastAsia="仿宋" w:cs="宋体"/>
                <w:color w:val="000000" w:themeColor="text1"/>
                <w14:textFill>
                  <w14:solidFill>
                    <w14:schemeClr w14:val="tx1"/>
                  </w14:solidFill>
                </w14:textFill>
              </w:rPr>
              <w:t>1650</w:t>
            </w:r>
            <w:r>
              <w:rPr>
                <w:rFonts w:hint="eastAsia" w:ascii="仿宋" w:hAnsi="仿宋" w:eastAsia="仿宋" w:cs="宋体"/>
                <w:color w:val="000000" w:themeColor="text1"/>
                <w14:textFill>
                  <w14:solidFill>
                    <w14:schemeClr w14:val="tx1"/>
                  </w14:solidFill>
                </w14:textFill>
              </w:rPr>
              <w:t>欧元</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请咨询捷克技术大学官网</w:t>
            </w:r>
            <w:r>
              <w:fldChar w:fldCharType="begin"/>
            </w:r>
            <w:r>
              <w:instrText xml:space="preserve"> HYPERLINK "http://www.baidu.com/link?url=ZEVf4AyPgeL1qlOi-8NYLvDJ-rjZ_NrqAS_G1x-OhM3" \t "_blank" </w:instrText>
            </w:r>
            <w:r>
              <w:fldChar w:fldCharType="separate"/>
            </w:r>
            <w:r>
              <w:rPr>
                <w:rStyle w:val="35"/>
                <w:rFonts w:ascii="仿宋" w:hAnsi="仿宋" w:eastAsia="仿宋" w:cs="Arial"/>
                <w:color w:val="000000" w:themeColor="text1"/>
                <w:sz w:val="20"/>
                <w:szCs w:val="20"/>
                <w:shd w:val="clear" w:color="auto" w:fill="FFFFFF"/>
                <w14:textFill>
                  <w14:solidFill>
                    <w14:schemeClr w14:val="tx1"/>
                  </w14:solidFill>
                </w14:textFill>
              </w:rPr>
              <w:t>https://www.cvut.cz/</w:t>
            </w:r>
            <w:r>
              <w:rPr>
                <w:rStyle w:val="35"/>
                <w:rFonts w:ascii="仿宋" w:hAnsi="仿宋" w:eastAsia="仿宋" w:cs="Arial"/>
                <w:color w:val="000000" w:themeColor="text1"/>
                <w:sz w:val="20"/>
                <w:szCs w:val="20"/>
                <w:shd w:val="clear" w:color="auto" w:fill="FFFFFF"/>
                <w14:textFill>
                  <w14:solidFill>
                    <w14:schemeClr w14:val="tx1"/>
                  </w14:solidFill>
                </w14:textFill>
              </w:rPr>
              <w:fldChar w:fldCharType="end"/>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（4）较强的英语沟通能力，雅思托福达到欧洲要求b2以上</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rPr>
                <w:rFonts w:hint="eastAsia" w:ascii="仿宋" w:hAnsi="仿宋" w:eastAsia="仿宋" w:cs="宋体"/>
                <w:color w:val="000000" w:themeColor="text1"/>
                <w:sz w:val="24"/>
                <w:shd w:val="clear" w:color="auto" w:fill="FFFFFF"/>
                <w14:textFill>
                  <w14:solidFill>
                    <w14:schemeClr w14:val="tx1"/>
                  </w14:solidFill>
                </w14:textFill>
              </w:rPr>
            </w:pPr>
            <w:r>
              <w:rPr>
                <w:rFonts w:hint="eastAsia" w:ascii="仿宋" w:hAnsi="仿宋" w:eastAsia="仿宋" w:cs="宋体"/>
                <w:color w:val="000000" w:themeColor="text1"/>
                <w:sz w:val="24"/>
                <w:shd w:val="clear" w:color="auto" w:fill="FFFFFF"/>
                <w14:textFill>
                  <w14:solidFill>
                    <w14:schemeClr w14:val="tx1"/>
                  </w14:solidFill>
                </w14:textFill>
              </w:rPr>
              <w:t>捷克技术大学是中欧最古老技术大学，工科的教育在捷克有相当长时间的传统。她的前身是1806年成立的工业学院。该校于1920年被核准为大学并更名为捷克技术大学。捷克技术大学是著名的理工科大学，历史悠久，教学科研能力强，捷克技术大学已经跻身于欧洲一流理工大学之列。捷克技术大学的电气工程学院（</w:t>
            </w:r>
            <w:r>
              <w:rPr>
                <w:rFonts w:ascii="仿宋" w:hAnsi="仿宋" w:eastAsia="仿宋" w:cs="宋体"/>
                <w:color w:val="000000" w:themeColor="text1"/>
                <w:sz w:val="24"/>
                <w:shd w:val="clear" w:color="auto" w:fill="FFFFFF"/>
                <w14:textFill>
                  <w14:solidFill>
                    <w14:schemeClr w14:val="tx1"/>
                  </w14:solidFill>
                </w14:textFill>
              </w:rPr>
              <w:t>F</w:t>
            </w:r>
            <w:r>
              <w:rPr>
                <w:rFonts w:hint="eastAsia" w:ascii="仿宋" w:hAnsi="仿宋" w:eastAsia="仿宋" w:cs="宋体"/>
                <w:color w:val="000000" w:themeColor="text1"/>
                <w:sz w:val="24"/>
                <w:shd w:val="clear" w:color="auto" w:fill="FFFFFF"/>
                <w14:textFill>
                  <w14:solidFill>
                    <w14:schemeClr w14:val="tx1"/>
                  </w14:solidFill>
                </w14:textFill>
              </w:rPr>
              <w:t>aculty of EE）是该领域全球五大研发和教学机构之一。电力牵引与控制是捷克技术大学教学和科研的强项学科。</w:t>
            </w:r>
          </w:p>
        </w:tc>
      </w:tr>
      <w:tr>
        <w:trPr>
          <w:trHeight w:val="671"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bookmarkStart w:id="37" w:name="_Toc9395"/>
      <w:bookmarkStart w:id="38" w:name="_Toc239324145"/>
      <w:r>
        <w:rPr>
          <w:rFonts w:hint="eastAsia" w:ascii="仿宋" w:hAnsi="仿宋" w:eastAsia="仿宋"/>
          <w:sz w:val="36"/>
          <w:szCs w:val="36"/>
        </w:rPr>
        <w:t>英国利物浦大学</w:t>
      </w:r>
      <w:bookmarkEnd w:id="37"/>
      <w:bookmarkEnd w:id="38"/>
    </w:p>
    <w:tbl>
      <w:tblPr>
        <w:tblStyle w:val="31"/>
        <w:tblW w:w="867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6515"/>
      </w:tblGrid>
      <w:tr>
        <w:trPr>
          <w:trHeight w:val="1054"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bookmarkStart w:id="39" w:name="_Hlk24745797"/>
            <w:r>
              <w:rPr>
                <w:rFonts w:hint="eastAsia" w:ascii="仿宋" w:hAnsi="仿宋" w:eastAsia="仿宋" w:cs="宋体"/>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15"/>
                <w14:textFill>
                  <w14:solidFill>
                    <w14:schemeClr w14:val="tx1"/>
                  </w14:solidFill>
                </w14:textFill>
              </w:rPr>
              <w:t>选拔优秀本科生赴利物浦大学进行学习。学习结束后，学生可将相关学分转换回我校</w:t>
            </w:r>
          </w:p>
        </w:tc>
      </w:tr>
      <w:tr>
        <w:trPr>
          <w:trHeight w:val="53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15"/>
                <w14:textFill>
                  <w14:solidFill>
                    <w14:schemeClr w14:val="tx1"/>
                  </w14:solidFill>
                </w14:textFill>
              </w:rPr>
              <w:t>专业不限，有对应课程即可报名</w:t>
            </w:r>
          </w:p>
        </w:tc>
      </w:tr>
      <w:tr>
        <w:trPr>
          <w:trHeight w:val="53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2人，择优录取</w:t>
            </w:r>
          </w:p>
        </w:tc>
      </w:tr>
      <w:tr>
        <w:trPr>
          <w:trHeight w:val="53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9650英镑(学期)，17700英镑(全年)。</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来自合作伙伴的学生可享受10%的学费折扣，即8685英镑(学期)，15930英镑(全年)。</w:t>
            </w:r>
          </w:p>
        </w:tc>
      </w:tr>
      <w:tr>
        <w:trPr>
          <w:trHeight w:val="67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申请条件</w:t>
            </w:r>
          </w:p>
        </w:tc>
        <w:tc>
          <w:tcPr>
            <w:tcW w:w="6515" w:type="dxa"/>
          </w:tcPr>
          <w:p>
            <w:pPr>
              <w:pStyle w:val="27"/>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1.热爱祖国，具有良好的政治思想素质，在校期间无违法违纪记录</w:t>
            </w:r>
          </w:p>
          <w:p>
            <w:pPr>
              <w:pStyle w:val="27"/>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2.身心健康，无不适合在外学习的疾病史</w:t>
            </w:r>
          </w:p>
          <w:p>
            <w:pPr>
              <w:pStyle w:val="27"/>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3.品学兼优，学习成绩排名前列，综合表现突出，GPA不低于3.0</w:t>
            </w:r>
          </w:p>
        </w:tc>
      </w:tr>
      <w:tr>
        <w:trPr>
          <w:trHeight w:val="67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交流院系介绍</w:t>
            </w:r>
          </w:p>
        </w:tc>
        <w:tc>
          <w:tcPr>
            <w:tcW w:w="6515" w:type="dxa"/>
          </w:tcPr>
          <w:p>
            <w:pPr>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利物浦大学（University of Liverpool），始建于1881年，位于英国利物浦，是一所公立研究型大学。英国利物浦是一所美丽的港口城市，在英格兰西北部，人口439476。距伦敦189英里，曼彻斯特28英里，格拉斯哥213英里。利物浦大学是红砖大学之一、罗素大学集团创始成员。该校校友及学术人员中共有10位诺贝尔奖得主。利物浦大学在2023年软科世界大学学术排名中全英排名位列9-12名，世界大学排名位列101-150名，在2024年USNEWS世界大学排名中位列146名，在2024年泰晤士高等教育世界大学排名中位列168名，在2024年QS世界大学排名中位列176名。</w:t>
            </w:r>
          </w:p>
        </w:tc>
      </w:tr>
      <w:tr>
        <w:trPr>
          <w:trHeight w:val="671" w:hRule="atLeast"/>
        </w:trPr>
        <w:tc>
          <w:tcPr>
            <w:tcW w:w="2161"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报名咨询方式</w:t>
            </w:r>
          </w:p>
        </w:tc>
        <w:tc>
          <w:tcPr>
            <w:tcW w:w="6515" w:type="dxa"/>
          </w:tcPr>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北京校部</w:t>
            </w:r>
          </w:p>
          <w:p>
            <w:pPr>
              <w:rPr>
                <w:rFonts w:hint="eastAsia" w:ascii="仿宋" w:hAnsi="仿宋" w:eastAsia="仿宋" w:cs="宋体"/>
                <w:color w:val="000000" w:themeColor="text1"/>
                <w:spacing w:val="8"/>
                <w:kern w:val="0"/>
                <w:sz w:val="24"/>
                <w:lang w:eastAsia="zh-Hans"/>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联系人：</w:t>
            </w:r>
            <w:r>
              <w:rPr>
                <w:rFonts w:hint="eastAsia" w:ascii="仿宋" w:hAnsi="仿宋" w:eastAsia="仿宋" w:cs="宋体"/>
                <w:color w:val="000000" w:themeColor="text1"/>
                <w:spacing w:val="8"/>
                <w:kern w:val="0"/>
                <w:sz w:val="24"/>
                <w:lang w:eastAsia="zh-Hans"/>
                <w14:textFill>
                  <w14:solidFill>
                    <w14:schemeClr w14:val="tx1"/>
                  </w14:solidFill>
                </w14:textFill>
              </w:rPr>
              <w:t>任楚颐</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电话：010-61772342</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地点：主D837</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保定校区</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联系人：赵乔</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电话：0312-7522348</w:t>
            </w:r>
          </w:p>
          <w:p>
            <w:pPr>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地址：综合楼710</w:t>
            </w:r>
          </w:p>
        </w:tc>
      </w:tr>
      <w:bookmarkEnd w:id="39"/>
    </w:tbl>
    <w:p>
      <w:pPr>
        <w:pStyle w:val="4"/>
        <w:rPr>
          <w:rFonts w:hint="eastAsia" w:ascii="仿宋" w:hAnsi="仿宋" w:eastAsia="仿宋"/>
          <w:sz w:val="36"/>
          <w:szCs w:val="36"/>
        </w:rPr>
      </w:pPr>
      <w:bookmarkStart w:id="40" w:name="OLE_LINK16"/>
    </w:p>
    <w:p>
      <w:pPr>
        <w:pStyle w:val="4"/>
        <w:rPr>
          <w:rFonts w:hint="eastAsia" w:ascii="仿宋" w:hAnsi="仿宋" w:eastAsia="仿宋"/>
          <w:sz w:val="36"/>
          <w:szCs w:val="36"/>
        </w:rPr>
      </w:pPr>
    </w:p>
    <w:bookmarkEnd w:id="40"/>
    <w:p>
      <w:pPr>
        <w:pStyle w:val="4"/>
        <w:ind w:firstLine="361" w:firstLineChars="100"/>
        <w:jc w:val="center"/>
        <w:rPr>
          <w:rFonts w:hint="eastAsia" w:ascii="仿宋" w:hAnsi="仿宋" w:eastAsia="仿宋"/>
          <w:sz w:val="36"/>
          <w:szCs w:val="36"/>
        </w:rPr>
      </w:pPr>
    </w:p>
    <w:p>
      <w:pPr>
        <w:pStyle w:val="4"/>
        <w:ind w:firstLine="361" w:firstLineChars="100"/>
        <w:jc w:val="center"/>
        <w:rPr>
          <w:rFonts w:hint="eastAsia" w:ascii="仿宋" w:hAnsi="仿宋" w:eastAsia="仿宋"/>
          <w:sz w:val="36"/>
          <w:szCs w:val="36"/>
        </w:rPr>
      </w:pPr>
      <w:bookmarkStart w:id="41" w:name="_Toc239324146"/>
      <w:bookmarkStart w:id="42" w:name="_Toc29947"/>
      <w:r>
        <w:rPr>
          <w:rFonts w:hint="eastAsia" w:ascii="仿宋" w:hAnsi="仿宋" w:eastAsia="仿宋"/>
          <w:sz w:val="36"/>
          <w:szCs w:val="36"/>
        </w:rPr>
        <w:t>美国普渡大学西北校区</w:t>
      </w:r>
      <w:bookmarkEnd w:id="41"/>
      <w:bookmarkEnd w:id="42"/>
    </w:p>
    <w:tbl>
      <w:tblPr>
        <w:tblStyle w:val="30"/>
        <w:tblW w:w="8495"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2004"/>
        <w:gridCol w:w="6491"/>
      </w:tblGrid>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项目内容</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我校自2009年起，同美国普渡大学西北校区开展本科交流生（ETIE）项目，符合条件的本科生可赴普渡大学进行为期一学期、或一年的交流学习。学习结束后满足一定条件的学生，可继续在普渡大学进行研究生阶段的学习（免GRE成绩）</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选派专业</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pacing w:val="8"/>
                <w:sz w:val="24"/>
                <w:shd w:val="clear" w:color="auto" w:fill="FFFFFF"/>
                <w14:textFill>
                  <w14:solidFill>
                    <w14:schemeClr w14:val="tx1"/>
                  </w14:solidFill>
                </w14:textFill>
              </w:rPr>
              <w:t>电子，电器，电讯，计算机，软件，机电， 机械，热工，热能，流体，材料，及土木工程。</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选派类别</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申请时为大三全日制在读本科生</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选派人数</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由普渡大学审理决定</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交流期限</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1学期或1学年，</w:t>
            </w:r>
            <w:r>
              <w:rPr>
                <w:rFonts w:ascii="仿宋" w:hAnsi="仿宋" w:eastAsia="仿宋" w:cs="宋体"/>
                <w:color w:val="000000" w:themeColor="text1"/>
                <w:sz w:val="24"/>
                <w14:textFill>
                  <w14:solidFill>
                    <w14:schemeClr w14:val="tx1"/>
                  </w14:solidFill>
                </w14:textFill>
              </w:rPr>
              <w:t>成绩优异同学可继续申请研究生</w:t>
            </w:r>
          </w:p>
        </w:tc>
      </w:tr>
      <w:tr>
        <w:trPr>
          <w:trHeight w:val="416"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申请条件</w:t>
            </w:r>
          </w:p>
        </w:tc>
        <w:tc>
          <w:tcPr>
            <w:tcW w:w="6491" w:type="dxa"/>
            <w:vAlign w:val="center"/>
          </w:tcPr>
          <w:p>
            <w:pPr>
              <w:shd w:val="clear" w:color="auto" w:fill="FFFFFF"/>
              <w:rPr>
                <w:rFonts w:hint="eastAsia" w:ascii="仿宋" w:hAnsi="仿宋" w:eastAsia="仿宋" w:cs="宋体"/>
                <w:color w:val="000000" w:themeColor="text1"/>
                <w:spacing w:val="8"/>
                <w:sz w:val="24"/>
                <w14:textFill>
                  <w14:solidFill>
                    <w14:schemeClr w14:val="tx1"/>
                  </w14:solidFill>
                </w14:textFill>
              </w:rPr>
            </w:pPr>
            <w:r>
              <w:rPr>
                <w:rFonts w:hint="eastAsia" w:ascii="仿宋" w:hAnsi="仿宋" w:eastAsia="仿宋" w:cs="宋体"/>
                <w:color w:val="000000" w:themeColor="text1"/>
                <w:spacing w:val="8"/>
                <w:sz w:val="24"/>
                <w14:textFill>
                  <w14:solidFill>
                    <w14:schemeClr w14:val="tx1"/>
                  </w14:solidFill>
                </w14:textFill>
              </w:rPr>
              <w:t>1.参加访学计划的学生必须是在校全日制三年级本科生，且学习成绩优良，GPA 2.5以上。GPA 2.5以上。英语四级高于500分，或通过英语六级，或托福高于70分，或雅思高于6分。</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pacing w:val="8"/>
                <w:sz w:val="24"/>
                <w14:textFill>
                  <w14:solidFill>
                    <w14:schemeClr w14:val="tx1"/>
                  </w14:solidFill>
                </w14:textFill>
              </w:rPr>
              <w:t>2.符合上述条件学生的基本资料（成绩单及相关材料）将被送达普渡大学，由普渡大学最终确定访学学生名单。</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所需费用</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学生在美学习期间的学习及生活费用全部由学生本人承担。在美学习期间两学期所需费用约为20000-30000美元，主要包括：</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 学费：12-18学分大约8000美元/学期 （每学期最低要求为 12学分）；</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2. 住宿费、餐费、日常消费等 8000-12000美元。</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上述费用不包括往返机票、申领护照及办理签证等费用。</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网址：www.pnw.edu/etie</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报名咨询方式</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43" w:name="_Toc239324147"/>
      <w:bookmarkStart w:id="44" w:name="_Toc25437"/>
      <w:r>
        <w:rPr>
          <w:rFonts w:hint="eastAsia" w:ascii="仿宋" w:hAnsi="仿宋" w:eastAsia="仿宋"/>
          <w:sz w:val="36"/>
          <w:szCs w:val="36"/>
        </w:rPr>
        <w:t>美国加州大学河滨分校</w:t>
      </w:r>
      <w:bookmarkEnd w:id="43"/>
      <w:bookmarkEnd w:id="44"/>
    </w:p>
    <w:tbl>
      <w:tblPr>
        <w:tblStyle w:val="30"/>
        <w:tblW w:w="8495"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2004"/>
        <w:gridCol w:w="6491"/>
      </w:tblGrid>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项目内容</w:t>
            </w:r>
          </w:p>
        </w:tc>
        <w:tc>
          <w:tcPr>
            <w:tcW w:w="6491" w:type="dxa"/>
            <w:vAlign w:val="center"/>
          </w:tcPr>
          <w:p>
            <w:pPr>
              <w:ind w:firstLine="480" w:firstLineChars="200"/>
              <w:rPr>
                <w:rFonts w:hint="eastAsia" w:ascii="仿宋" w:hAnsi="仿宋" w:eastAsia="仿宋" w:cs="宋体"/>
                <w:sz w:val="24"/>
              </w:rPr>
            </w:pPr>
            <w:r>
              <w:rPr>
                <w:rFonts w:hint="eastAsia" w:ascii="仿宋" w:hAnsi="仿宋" w:eastAsia="仿宋" w:cs="宋体"/>
                <w:sz w:val="24"/>
              </w:rPr>
              <w:t>加州大学河滨分校研究生准备项目（GPP）是一个创建于</w:t>
            </w:r>
            <w:r>
              <w:rPr>
                <w:rFonts w:ascii="仿宋" w:hAnsi="仿宋" w:eastAsia="仿宋" w:cs="宋体"/>
                <w:sz w:val="24"/>
              </w:rPr>
              <w:t>2013</w:t>
            </w:r>
            <w:r>
              <w:rPr>
                <w:rFonts w:hint="eastAsia" w:ascii="仿宋" w:hAnsi="仿宋" w:eastAsia="仿宋" w:cs="宋体"/>
                <w:sz w:val="24"/>
              </w:rPr>
              <w:t>年的独特定制项目，旨在为学生提供在一所前沿美国研究型大学进行深入学习的机会。该计划允许已经完成大三学业的学生在加州大学河滨分校完成他们的第四年或最后一年（</w:t>
            </w:r>
            <w:r>
              <w:rPr>
                <w:rFonts w:ascii="仿宋" w:hAnsi="仿宋" w:eastAsia="仿宋" w:cs="宋体"/>
                <w:sz w:val="24"/>
              </w:rPr>
              <w:t>3+1</w:t>
            </w:r>
            <w:r>
              <w:rPr>
                <w:rFonts w:hint="eastAsia" w:ascii="仿宋" w:hAnsi="仿宋" w:eastAsia="仿宋" w:cs="宋体"/>
                <w:sz w:val="24"/>
              </w:rPr>
              <w:t>），并在录取后提供更多机会以获得硕士或博士学位。</w:t>
            </w:r>
          </w:p>
          <w:p>
            <w:pPr>
              <w:ind w:firstLine="480" w:firstLineChars="200"/>
              <w:jc w:val="left"/>
              <w:rPr>
                <w:rFonts w:hint="eastAsia" w:ascii="仿宋" w:hAnsi="仿宋" w:eastAsia="仿宋" w:cs="宋体"/>
                <w:sz w:val="24"/>
              </w:rPr>
            </w:pPr>
            <w:r>
              <w:rPr>
                <w:rFonts w:hint="eastAsia" w:ascii="仿宋" w:hAnsi="仿宋" w:eastAsia="仿宋" w:cs="宋体"/>
                <w:sz w:val="24"/>
              </w:rPr>
              <w:t>GPP学生通过申请可在</w:t>
            </w:r>
            <w:r>
              <w:rPr>
                <w:rFonts w:ascii="仿宋" w:hAnsi="仿宋" w:eastAsia="仿宋" w:cs="宋体"/>
                <w:sz w:val="24"/>
              </w:rPr>
              <w:t>UCR</w:t>
            </w:r>
            <w:r>
              <w:rPr>
                <w:rFonts w:hint="eastAsia" w:ascii="仿宋" w:hAnsi="仿宋" w:eastAsia="仿宋" w:cs="宋体"/>
                <w:sz w:val="24"/>
              </w:rPr>
              <w:t>完成一年大四的学习。完成学业后，将</w:t>
            </w:r>
            <w:r>
              <w:rPr>
                <w:rFonts w:ascii="仿宋" w:hAnsi="仿宋" w:eastAsia="仿宋" w:cs="宋体"/>
                <w:sz w:val="24"/>
              </w:rPr>
              <w:t>UCR</w:t>
            </w:r>
            <w:r>
              <w:rPr>
                <w:rFonts w:hint="eastAsia" w:ascii="仿宋" w:hAnsi="仿宋" w:eastAsia="仿宋" w:cs="宋体"/>
                <w:sz w:val="24"/>
              </w:rPr>
              <w:t xml:space="preserve">学分转回华电，获取华电颁发的大学学位及文凭。 </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选派专业</w:t>
            </w:r>
          </w:p>
        </w:tc>
        <w:tc>
          <w:tcPr>
            <w:tcW w:w="6491" w:type="dxa"/>
            <w:vAlign w:val="center"/>
          </w:tcPr>
          <w:p>
            <w:pPr>
              <w:rPr>
                <w:rFonts w:hint="eastAsia" w:ascii="仿宋" w:hAnsi="仿宋" w:eastAsia="仿宋" w:cs="宋体"/>
                <w:sz w:val="24"/>
              </w:rPr>
            </w:pPr>
            <w:r>
              <w:rPr>
                <w:rFonts w:hint="eastAsia" w:ascii="仿宋" w:hAnsi="仿宋" w:eastAsia="仿宋" w:cs="宋体"/>
                <w:sz w:val="24"/>
              </w:rPr>
              <w:t>生</w:t>
            </w:r>
            <w:r>
              <w:rPr>
                <w:rFonts w:hint="eastAsia" w:ascii="仿宋" w:hAnsi="仿宋" w:eastAsia="仿宋" w:cs="仿宋"/>
                <w:sz w:val="24"/>
              </w:rPr>
              <w:t>物</w:t>
            </w:r>
            <w:r>
              <w:rPr>
                <w:rFonts w:hint="eastAsia" w:ascii="仿宋" w:hAnsi="仿宋" w:eastAsia="仿宋" w:cs="宋体"/>
                <w:spacing w:val="8"/>
                <w:sz w:val="24"/>
                <w:shd w:val="clear" w:color="auto" w:fill="FFFFFF"/>
              </w:rPr>
              <w:t>工</w:t>
            </w:r>
            <w:r>
              <w:rPr>
                <w:rFonts w:hint="eastAsia" w:ascii="仿宋" w:hAnsi="仿宋" w:eastAsia="仿宋" w:cs="仿宋"/>
                <w:sz w:val="24"/>
              </w:rPr>
              <w:t>程，化学与环境</w:t>
            </w:r>
            <w:r>
              <w:rPr>
                <w:rFonts w:hint="eastAsia" w:ascii="仿宋" w:hAnsi="仿宋" w:eastAsia="仿宋" w:cs="宋体"/>
                <w:spacing w:val="8"/>
                <w:sz w:val="24"/>
                <w:shd w:val="clear" w:color="auto" w:fill="FFFFFF"/>
              </w:rPr>
              <w:t>工</w:t>
            </w:r>
            <w:r>
              <w:rPr>
                <w:rFonts w:hint="eastAsia" w:ascii="仿宋" w:hAnsi="仿宋" w:eastAsia="仿宋" w:cs="仿宋"/>
                <w:sz w:val="24"/>
              </w:rPr>
              <w:t>程，计算机科学，计算机</w:t>
            </w:r>
            <w:r>
              <w:rPr>
                <w:rFonts w:hint="eastAsia" w:ascii="仿宋" w:hAnsi="仿宋" w:eastAsia="仿宋" w:cs="宋体"/>
                <w:spacing w:val="8"/>
                <w:sz w:val="24"/>
                <w:shd w:val="clear" w:color="auto" w:fill="FFFFFF"/>
              </w:rPr>
              <w:t>工</w:t>
            </w:r>
            <w:r>
              <w:rPr>
                <w:rFonts w:hint="eastAsia" w:ascii="仿宋" w:hAnsi="仿宋" w:eastAsia="仿宋" w:cs="仿宋"/>
                <w:sz w:val="24"/>
              </w:rPr>
              <w:t>程，电子</w:t>
            </w:r>
            <w:r>
              <w:rPr>
                <w:rFonts w:hint="eastAsia" w:ascii="仿宋" w:hAnsi="仿宋" w:eastAsia="仿宋" w:cs="宋体"/>
                <w:spacing w:val="8"/>
                <w:sz w:val="24"/>
                <w:shd w:val="clear" w:color="auto" w:fill="FFFFFF"/>
              </w:rPr>
              <w:t>工</w:t>
            </w:r>
            <w:r>
              <w:rPr>
                <w:rFonts w:hint="eastAsia" w:ascii="仿宋" w:hAnsi="仿宋" w:eastAsia="仿宋" w:cs="仿宋"/>
                <w:sz w:val="24"/>
              </w:rPr>
              <w:t>程，材料科学与</w:t>
            </w:r>
            <w:r>
              <w:rPr>
                <w:rFonts w:hint="eastAsia" w:ascii="仿宋" w:hAnsi="仿宋" w:eastAsia="仿宋" w:cs="宋体"/>
                <w:spacing w:val="8"/>
                <w:sz w:val="24"/>
                <w:shd w:val="clear" w:color="auto" w:fill="FFFFFF"/>
              </w:rPr>
              <w:t>工</w:t>
            </w:r>
            <w:r>
              <w:rPr>
                <w:rFonts w:hint="eastAsia" w:ascii="仿宋" w:hAnsi="仿宋" w:eastAsia="仿宋" w:cs="仿宋"/>
                <w:sz w:val="24"/>
              </w:rPr>
              <w:t>程，机械</w:t>
            </w:r>
            <w:r>
              <w:rPr>
                <w:rFonts w:hint="eastAsia" w:ascii="仿宋" w:hAnsi="仿宋" w:eastAsia="仿宋" w:cs="宋体"/>
                <w:spacing w:val="8"/>
                <w:sz w:val="24"/>
                <w:shd w:val="clear" w:color="auto" w:fill="FFFFFF"/>
              </w:rPr>
              <w:t>工</w:t>
            </w:r>
            <w:r>
              <w:rPr>
                <w:rFonts w:hint="eastAsia" w:ascii="仿宋" w:hAnsi="仿宋" w:eastAsia="仿宋" w:cs="仿宋"/>
                <w:sz w:val="24"/>
              </w:rPr>
              <w:t>程，计算数据科学，商科，化学，物理，数学，统计学，公共政策学</w:t>
            </w:r>
            <w:r>
              <w:rPr>
                <w:rFonts w:ascii="仿宋" w:hAnsi="仿宋" w:eastAsia="仿宋" w:cs="宋体"/>
                <w:sz w:val="24"/>
              </w:rPr>
              <w:t xml:space="preserve"> </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选派类别</w:t>
            </w:r>
          </w:p>
        </w:tc>
        <w:tc>
          <w:tcPr>
            <w:tcW w:w="6491" w:type="dxa"/>
            <w:vAlign w:val="center"/>
          </w:tcPr>
          <w:p>
            <w:pPr>
              <w:rPr>
                <w:rFonts w:hint="eastAsia" w:ascii="仿宋" w:hAnsi="仿宋" w:eastAsia="仿宋" w:cs="宋体"/>
                <w:sz w:val="24"/>
              </w:rPr>
            </w:pPr>
            <w:r>
              <w:rPr>
                <w:rFonts w:hint="eastAsia" w:ascii="仿宋" w:hAnsi="仿宋" w:eastAsia="仿宋" w:cs="宋体"/>
                <w:sz w:val="24"/>
              </w:rPr>
              <w:t>申请时为大三全日制在读本科生</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选派人数</w:t>
            </w:r>
          </w:p>
        </w:tc>
        <w:tc>
          <w:tcPr>
            <w:tcW w:w="6491" w:type="dxa"/>
            <w:vAlign w:val="center"/>
          </w:tcPr>
          <w:p>
            <w:pPr>
              <w:rPr>
                <w:rFonts w:hint="eastAsia" w:ascii="仿宋" w:hAnsi="仿宋" w:eastAsia="仿宋" w:cs="宋体"/>
                <w:sz w:val="24"/>
              </w:rPr>
            </w:pPr>
            <w:r>
              <w:rPr>
                <w:rFonts w:hint="eastAsia" w:ascii="仿宋" w:hAnsi="仿宋" w:eastAsia="仿宋" w:cs="宋体"/>
                <w:sz w:val="24"/>
              </w:rPr>
              <w:t>由加州大学河滨分校审理决定</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交流期限</w:t>
            </w:r>
          </w:p>
        </w:tc>
        <w:tc>
          <w:tcPr>
            <w:tcW w:w="6491" w:type="dxa"/>
            <w:vAlign w:val="center"/>
          </w:tcPr>
          <w:p>
            <w:pPr>
              <w:rPr>
                <w:rFonts w:hint="eastAsia" w:ascii="仿宋" w:hAnsi="仿宋" w:eastAsia="仿宋" w:cs="宋体"/>
                <w:sz w:val="24"/>
              </w:rPr>
            </w:pPr>
            <w:r>
              <w:rPr>
                <w:rFonts w:hint="eastAsia" w:ascii="仿宋" w:hAnsi="仿宋" w:eastAsia="仿宋" w:cs="宋体"/>
                <w:sz w:val="24"/>
              </w:rPr>
              <w:t>1学年，</w:t>
            </w:r>
            <w:r>
              <w:rPr>
                <w:rFonts w:ascii="仿宋" w:hAnsi="仿宋" w:eastAsia="仿宋" w:cs="宋体"/>
                <w:sz w:val="24"/>
              </w:rPr>
              <w:t>成绩优异同学可继续申请研究生</w:t>
            </w:r>
          </w:p>
        </w:tc>
      </w:tr>
      <w:tr>
        <w:trPr>
          <w:trHeight w:val="416"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申请条件</w:t>
            </w:r>
          </w:p>
        </w:tc>
        <w:tc>
          <w:tcPr>
            <w:tcW w:w="6491" w:type="dxa"/>
            <w:vAlign w:val="center"/>
          </w:tcPr>
          <w:p>
            <w:pPr>
              <w:rPr>
                <w:rFonts w:hint="eastAsia" w:ascii="仿宋" w:hAnsi="仿宋" w:eastAsia="仿宋" w:cs="宋体"/>
                <w:sz w:val="24"/>
              </w:rPr>
            </w:pPr>
            <w:r>
              <w:rPr>
                <w:rFonts w:hint="eastAsia" w:ascii="仿宋" w:hAnsi="仿宋" w:eastAsia="仿宋" w:cs="宋体"/>
                <w:sz w:val="24"/>
              </w:rPr>
              <w:t xml:space="preserve">1.绩点要求：GPA 3.0/4.0 </w:t>
            </w:r>
          </w:p>
          <w:p>
            <w:pPr>
              <w:rPr>
                <w:rFonts w:hint="eastAsia" w:ascii="仿宋" w:hAnsi="仿宋" w:eastAsia="仿宋" w:cs="宋体"/>
                <w:sz w:val="24"/>
              </w:rPr>
            </w:pPr>
            <w:r>
              <w:rPr>
                <w:rFonts w:hint="eastAsia" w:ascii="仿宋" w:hAnsi="仿宋" w:eastAsia="仿宋" w:cs="宋体"/>
                <w:sz w:val="24"/>
              </w:rPr>
              <w:t>2.满足以下一条英语语言要求</w:t>
            </w:r>
            <w:r>
              <w:rPr>
                <w:rFonts w:ascii="仿宋" w:hAnsi="仿宋" w:eastAsia="仿宋" w:cs="宋体"/>
                <w:sz w:val="24"/>
              </w:rPr>
              <w:t xml:space="preserve">: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托福 </w:t>
            </w:r>
            <w:r>
              <w:rPr>
                <w:rFonts w:ascii="仿宋" w:hAnsi="仿宋" w:eastAsia="仿宋" w:cs="宋体"/>
                <w:sz w:val="24"/>
              </w:rPr>
              <w:t xml:space="preserve">iBT 80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托福 </w:t>
            </w:r>
            <w:r>
              <w:rPr>
                <w:rFonts w:ascii="仿宋" w:hAnsi="仿宋" w:eastAsia="仿宋" w:cs="宋体"/>
                <w:sz w:val="24"/>
              </w:rPr>
              <w:t xml:space="preserve">PBT 550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雅思 </w:t>
            </w:r>
            <w:r>
              <w:rPr>
                <w:rFonts w:ascii="仿宋" w:hAnsi="仿宋" w:eastAsia="仿宋" w:cs="宋体"/>
                <w:sz w:val="24"/>
              </w:rPr>
              <w:t xml:space="preserve">6.5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多邻国 </w:t>
            </w:r>
            <w:r>
              <w:rPr>
                <w:rFonts w:ascii="仿宋" w:hAnsi="仿宋" w:eastAsia="仿宋" w:cs="宋体"/>
                <w:sz w:val="24"/>
              </w:rPr>
              <w:t xml:space="preserve">100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大学四级</w:t>
            </w:r>
            <w:r>
              <w:rPr>
                <w:rFonts w:ascii="仿宋" w:hAnsi="仿宋" w:eastAsia="仿宋" w:cs="宋体"/>
                <w:sz w:val="24"/>
              </w:rPr>
              <w:t xml:space="preserve">500 </w:t>
            </w:r>
            <w:r>
              <w:rPr>
                <w:rFonts w:hint="eastAsia" w:ascii="仿宋" w:hAnsi="仿宋" w:eastAsia="仿宋" w:cs="宋体"/>
                <w:sz w:val="24"/>
              </w:rPr>
              <w:t>或</w:t>
            </w:r>
            <w:r>
              <w:rPr>
                <w:rFonts w:ascii="仿宋" w:hAnsi="仿宋" w:eastAsia="仿宋" w:cs="宋体"/>
                <w:sz w:val="24"/>
              </w:rPr>
              <w:t xml:space="preserve"> </w:t>
            </w:r>
            <w:r>
              <w:rPr>
                <w:rFonts w:hint="eastAsia" w:ascii="仿宋" w:hAnsi="仿宋" w:eastAsia="仿宋" w:cs="宋体"/>
                <w:sz w:val="24"/>
              </w:rPr>
              <w:t xml:space="preserve">大学六级 </w:t>
            </w:r>
            <w:r>
              <w:rPr>
                <w:rFonts w:ascii="仿宋" w:hAnsi="仿宋" w:eastAsia="仿宋" w:cs="宋体"/>
                <w:sz w:val="24"/>
              </w:rPr>
              <w:t xml:space="preserve">460 </w:t>
            </w:r>
          </w:p>
          <w:p>
            <w:pPr>
              <w:rPr>
                <w:rFonts w:hint="eastAsia" w:ascii="仿宋" w:hAnsi="仿宋" w:eastAsia="仿宋" w:cs="宋体"/>
                <w:sz w:val="24"/>
              </w:rPr>
            </w:pP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所需费用</w:t>
            </w:r>
          </w:p>
        </w:tc>
        <w:tc>
          <w:tcPr>
            <w:tcW w:w="6491" w:type="dxa"/>
            <w:vAlign w:val="center"/>
          </w:tcPr>
          <w:p>
            <w:pPr>
              <w:rPr>
                <w:rFonts w:hint="eastAsia" w:ascii="仿宋" w:hAnsi="仿宋" w:eastAsia="仿宋" w:cs="宋体"/>
                <w:sz w:val="24"/>
              </w:rPr>
            </w:pPr>
            <w:r>
              <w:rPr>
                <w:rFonts w:hint="eastAsia" w:ascii="仿宋" w:hAnsi="仿宋" w:eastAsia="仿宋" w:cs="宋体"/>
                <w:sz w:val="24"/>
              </w:rPr>
              <w:t>GPP ⼀年学费</w:t>
            </w:r>
            <w:r>
              <w:rPr>
                <w:rFonts w:ascii="仿宋" w:hAnsi="仿宋" w:eastAsia="仿宋" w:cs="宋体"/>
                <w:sz w:val="24"/>
              </w:rPr>
              <w:t xml:space="preserve">: $25,000 </w:t>
            </w:r>
            <w:r>
              <w:rPr>
                <w:rFonts w:hint="eastAsia" w:ascii="仿宋" w:hAnsi="仿宋" w:eastAsia="仿宋" w:cs="宋体"/>
                <w:sz w:val="24"/>
              </w:rPr>
              <w:t xml:space="preserve">美元 </w:t>
            </w:r>
          </w:p>
        </w:tc>
      </w:tr>
      <w:tr>
        <w:trPr>
          <w:trHeight w:val="720" w:hRule="atLeast"/>
        </w:trPr>
        <w:tc>
          <w:tcPr>
            <w:tcW w:w="2004" w:type="dxa"/>
            <w:vAlign w:val="center"/>
          </w:tcPr>
          <w:p>
            <w:pPr>
              <w:pStyle w:val="27"/>
              <w:widowControl/>
              <w:rPr>
                <w:rFonts w:hint="eastAsia" w:ascii="仿宋" w:hAnsi="仿宋" w:eastAsia="仿宋" w:cs="宋体"/>
              </w:rPr>
            </w:pPr>
            <w:r>
              <w:rPr>
                <w:rFonts w:hint="eastAsia" w:ascii="仿宋" w:hAnsi="仿宋" w:eastAsia="仿宋" w:cs="宋体"/>
                <w:b/>
              </w:rPr>
              <w:t>报名咨询方式</w:t>
            </w:r>
          </w:p>
        </w:tc>
        <w:tc>
          <w:tcPr>
            <w:tcW w:w="6491" w:type="dxa"/>
            <w:vAlign w:val="center"/>
          </w:tcPr>
          <w:p>
            <w:pPr>
              <w:rPr>
                <w:rFonts w:hint="eastAsia" w:ascii="仿宋" w:hAnsi="仿宋" w:eastAsia="仿宋" w:cs="宋体"/>
                <w:sz w:val="24"/>
              </w:rPr>
            </w:pPr>
            <w:r>
              <w:rPr>
                <w:rFonts w:hint="eastAsia" w:ascii="仿宋" w:hAnsi="仿宋" w:eastAsia="仿宋" w:cs="宋体"/>
                <w:sz w:val="24"/>
              </w:rPr>
              <w:t>北京校部</w:t>
            </w:r>
          </w:p>
          <w:p>
            <w:pPr>
              <w:rPr>
                <w:rFonts w:hint="eastAsia" w:ascii="仿宋" w:hAnsi="仿宋" w:eastAsia="仿宋" w:cs="宋体"/>
                <w:sz w:val="24"/>
                <w:lang w:eastAsia="zh-Hans"/>
              </w:rPr>
            </w:pPr>
            <w:r>
              <w:rPr>
                <w:rFonts w:hint="eastAsia" w:ascii="仿宋" w:hAnsi="仿宋" w:eastAsia="仿宋" w:cs="宋体"/>
                <w:sz w:val="24"/>
              </w:rPr>
              <w:t>联系人：</w:t>
            </w:r>
            <w:r>
              <w:rPr>
                <w:rFonts w:hint="eastAsia" w:ascii="仿宋" w:hAnsi="仿宋" w:eastAsia="仿宋" w:cs="宋体"/>
                <w:sz w:val="24"/>
                <w:lang w:eastAsia="zh-Hans"/>
              </w:rPr>
              <w:t>任楚颐</w:t>
            </w:r>
          </w:p>
          <w:p>
            <w:pPr>
              <w:rPr>
                <w:rFonts w:hint="eastAsia" w:ascii="仿宋" w:hAnsi="仿宋" w:eastAsia="仿宋" w:cs="宋体"/>
                <w:sz w:val="24"/>
              </w:rPr>
            </w:pPr>
            <w:r>
              <w:rPr>
                <w:rFonts w:hint="eastAsia" w:ascii="仿宋" w:hAnsi="仿宋" w:eastAsia="仿宋" w:cs="宋体"/>
                <w:sz w:val="24"/>
              </w:rPr>
              <w:t>电话：010-61772342</w:t>
            </w:r>
          </w:p>
          <w:p>
            <w:pPr>
              <w:rPr>
                <w:rFonts w:hint="eastAsia" w:ascii="仿宋" w:hAnsi="仿宋" w:eastAsia="仿宋" w:cs="宋体"/>
                <w:sz w:val="24"/>
              </w:rPr>
            </w:pPr>
            <w:r>
              <w:rPr>
                <w:rFonts w:hint="eastAsia" w:ascii="仿宋" w:hAnsi="仿宋" w:eastAsia="仿宋" w:cs="宋体"/>
                <w:sz w:val="24"/>
              </w:rPr>
              <w:t>地点：主D837</w:t>
            </w:r>
          </w:p>
          <w:p>
            <w:pPr>
              <w:rPr>
                <w:rFonts w:hint="eastAsia" w:ascii="仿宋" w:hAnsi="仿宋" w:eastAsia="仿宋" w:cs="宋体"/>
                <w:sz w:val="24"/>
              </w:rPr>
            </w:pPr>
            <w:r>
              <w:rPr>
                <w:rFonts w:hint="eastAsia" w:ascii="仿宋" w:hAnsi="仿宋" w:eastAsia="仿宋" w:cs="宋体"/>
                <w:sz w:val="24"/>
              </w:rPr>
              <w:t>保定校区</w:t>
            </w:r>
          </w:p>
          <w:p>
            <w:pPr>
              <w:rPr>
                <w:rFonts w:hint="eastAsia" w:ascii="仿宋" w:hAnsi="仿宋" w:eastAsia="仿宋" w:cs="宋体"/>
                <w:sz w:val="24"/>
              </w:rPr>
            </w:pPr>
            <w:r>
              <w:rPr>
                <w:rFonts w:hint="eastAsia" w:ascii="仿宋" w:hAnsi="仿宋" w:eastAsia="仿宋" w:cs="宋体"/>
                <w:sz w:val="24"/>
              </w:rPr>
              <w:t>联系人：赵乔</w:t>
            </w:r>
          </w:p>
          <w:p>
            <w:pPr>
              <w:rPr>
                <w:rFonts w:hint="eastAsia" w:ascii="仿宋" w:hAnsi="仿宋" w:eastAsia="仿宋" w:cs="宋体"/>
                <w:sz w:val="24"/>
              </w:rPr>
            </w:pPr>
            <w:r>
              <w:rPr>
                <w:rFonts w:hint="eastAsia" w:ascii="仿宋" w:hAnsi="仿宋" w:eastAsia="仿宋" w:cs="宋体"/>
                <w:sz w:val="24"/>
              </w:rPr>
              <w:t>电话：0312-7522348</w:t>
            </w:r>
          </w:p>
          <w:p>
            <w:pPr>
              <w:rPr>
                <w:rFonts w:hint="eastAsia" w:ascii="仿宋" w:hAnsi="仿宋" w:eastAsia="仿宋" w:cs="宋体"/>
                <w:sz w:val="24"/>
              </w:rPr>
            </w:pPr>
            <w:r>
              <w:rPr>
                <w:rFonts w:hint="eastAsia" w:ascii="仿宋" w:hAnsi="仿宋" w:eastAsia="仿宋" w:cs="宋体"/>
                <w:sz w:val="24"/>
              </w:rPr>
              <w:t>地址：综合楼710</w:t>
            </w:r>
          </w:p>
        </w:tc>
      </w:tr>
    </w:tbl>
    <w:p>
      <w:pPr>
        <w:pStyle w:val="4"/>
        <w:rPr>
          <w:rFonts w:hint="eastAsia" w:ascii="仿宋" w:hAnsi="仿宋" w:eastAsia="仿宋"/>
          <w:color w:val="000000"/>
          <w:sz w:val="36"/>
          <w:szCs w:val="36"/>
          <w14:textFill>
            <w14:solidFill>
              <w14:srgbClr w14:val="000000">
                <w14:lumMod w14:val="75000"/>
                <w14:lumOff w14:val="25000"/>
              </w14:srgbClr>
            </w14:solidFill>
          </w14:textFill>
        </w:rPr>
      </w:pPr>
    </w:p>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45" w:name="_Toc239324148"/>
      <w:bookmarkStart w:id="46" w:name="_Toc13317"/>
      <w:r>
        <w:rPr>
          <w:rFonts w:hint="eastAsia" w:ascii="仿宋" w:hAnsi="仿宋" w:eastAsia="仿宋"/>
          <w:sz w:val="36"/>
          <w:szCs w:val="36"/>
        </w:rPr>
        <w:t>澳大利亚昆士兰大学</w:t>
      </w:r>
      <w:bookmarkEnd w:id="45"/>
      <w:bookmarkEnd w:id="46"/>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不限（须国外院校有符合的相关课程）</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年均学费约为＄30672（不同学院学费不同）</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请咨询昆士兰大学官网https://www.uq.edu.au</w:t>
            </w:r>
          </w:p>
        </w:tc>
      </w:tr>
      <w:tr>
        <w:trPr>
          <w:trHeight w:val="67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（4）雅思不低</w:t>
            </w:r>
            <w:r>
              <w:rPr>
                <w:rFonts w:hint="eastAsia" w:ascii="仿宋" w:hAnsi="仿宋" w:eastAsia="仿宋" w:cs="宋体"/>
                <w:shd w:val="clear" w:color="auto" w:fill="FFFFFF"/>
              </w:rPr>
              <w:t>于6</w:t>
            </w:r>
            <w:r>
              <w:rPr>
                <w:rFonts w:ascii="仿宋" w:hAnsi="仿宋" w:eastAsia="仿宋" w:cs="宋体"/>
                <w:shd w:val="clear" w:color="auto" w:fill="FFFFFF"/>
              </w:rPr>
              <w:t>.5</w:t>
            </w:r>
            <w:r>
              <w:rPr>
                <w:rFonts w:hint="eastAsia" w:ascii="仿宋" w:hAnsi="仿宋" w:eastAsia="仿宋" w:cs="宋体"/>
                <w:color w:val="000000" w:themeColor="text1"/>
                <w:shd w:val="clear" w:color="auto" w:fill="FFFFFF"/>
                <w14:textFill>
                  <w14:solidFill>
                    <w14:schemeClr w14:val="tx1"/>
                  </w14:solidFill>
                </w14:textFill>
              </w:rPr>
              <w:t>。</w:t>
            </w:r>
          </w:p>
        </w:tc>
      </w:tr>
      <w:tr>
        <w:trPr>
          <w:trHeight w:val="67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申请办法</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昆士兰大学是世界著名顶尖学府、著名高等科研学府之一。澳大利亚常春藤联盟“八大名校”之一，始建于1909年，是昆士兰州第一所综合型大学，也是澳大利亚最大、最有声望的大学之一，同时还是六所砂岩学府之一，及UNIVERSITAS 21成员。2019年，昆士兰大学位居2020年QS世界大学排名第47位[2]，2020年USNews世界大学排名第42位[3]，2020年泰晤士高等教育世界大学排名第66位，2019年软科世界大学学术排名第54位。学校学部学院包括：商业，经济与法律学部工程，建筑与信息技术学部，健康与行为科学学部，人文与社会科学学部，医学部，理学部。</w:t>
            </w:r>
          </w:p>
        </w:tc>
      </w:tr>
      <w:tr>
        <w:trPr>
          <w:trHeight w:val="671"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jc w:val="left"/>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p>
    <w:p/>
    <w:p>
      <w:pPr>
        <w:pStyle w:val="4"/>
        <w:jc w:val="center"/>
        <w:rPr>
          <w:rFonts w:hint="eastAsia" w:ascii="仿宋" w:hAnsi="仿宋" w:eastAsia="仿宋"/>
          <w:sz w:val="36"/>
          <w:szCs w:val="36"/>
        </w:rPr>
      </w:pPr>
      <w:bookmarkStart w:id="47" w:name="_Toc16592"/>
      <w:bookmarkStart w:id="48" w:name="_Toc239324149"/>
      <w:r>
        <w:rPr>
          <w:rFonts w:hint="eastAsia" w:ascii="仿宋" w:hAnsi="仿宋" w:eastAsia="仿宋"/>
          <w:sz w:val="36"/>
          <w:szCs w:val="36"/>
        </w:rPr>
        <w:t>澳大利亚新南威尔士大学</w:t>
      </w:r>
      <w:bookmarkEnd w:id="47"/>
      <w:bookmarkEnd w:id="48"/>
    </w:p>
    <w:tbl>
      <w:tblPr>
        <w:tblStyle w:val="31"/>
        <w:tblW w:w="867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6515"/>
      </w:tblGrid>
      <w:tr>
        <w:trPr>
          <w:trHeight w:val="699"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项目内容</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每学期选派优秀本科生进行交流学习。学习结束后，学生可将相关学分转换回我校</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选派专业</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不限</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选派类别</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申请时为大二或大三全日制在读本科生</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选派人数</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不限</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交流期限</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1学期或1学年</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所需费用</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例：大致为45，000（澳元） 其中学费9527（澳元）Engineering(Honours)/Master of Engineering (Electrical Engineering)专业</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详情请查询新南威尔士大学官网</w:t>
            </w:r>
            <w:r>
              <w:fldChar w:fldCharType="begin"/>
            </w:r>
            <w:r>
              <w:instrText xml:space="preserve"> HYPERLINK "https://www.unsw.edu.au/" </w:instrText>
            </w:r>
            <w:r>
              <w:fldChar w:fldCharType="separate"/>
            </w:r>
            <w:r>
              <w:rPr>
                <w:rFonts w:hint="eastAsia" w:ascii="仿宋" w:hAnsi="仿宋" w:eastAsia="仿宋" w:cs="宋体"/>
                <w:color w:val="000000" w:themeColor="text1"/>
                <w:kern w:val="0"/>
                <w:sz w:val="24"/>
                <w14:textFill>
                  <w14:solidFill>
                    <w14:schemeClr w14:val="tx1"/>
                  </w14:solidFill>
                </w14:textFill>
              </w:rPr>
              <w:t>https://www.unsw.edu.au/</w:t>
            </w:r>
            <w:r>
              <w:rPr>
                <w:rFonts w:hint="eastAsia" w:ascii="仿宋" w:hAnsi="仿宋" w:eastAsia="仿宋" w:cs="宋体"/>
                <w:color w:val="000000" w:themeColor="text1"/>
                <w:kern w:val="0"/>
                <w:sz w:val="24"/>
                <w14:textFill>
                  <w14:solidFill>
                    <w14:schemeClr w14:val="tx1"/>
                  </w14:solidFill>
                </w14:textFill>
              </w:rPr>
              <w:fldChar w:fldCharType="end"/>
            </w:r>
          </w:p>
        </w:tc>
      </w:tr>
      <w:tr>
        <w:trPr>
          <w:trHeight w:val="67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申请条件</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1.</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华北电力大学在读本科生、硕士生，身体健康，品学兼优，具有较强的独立生活能力；</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2.</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成绩要求：GPA3.0以上；</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3.</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语言要求：三年内的雅思成绩6.5分及以上</w:t>
            </w:r>
            <w:r>
              <w:rPr>
                <w:rFonts w:ascii="仿宋" w:hAnsi="仿宋" w:eastAsia="仿宋" w:cs="宋体"/>
                <w:color w:val="000000" w:themeColor="text1"/>
                <w:kern w:val="0"/>
                <w:sz w:val="24"/>
                <w14:textFill>
                  <w14:solidFill>
                    <w14:schemeClr w14:val="tx1"/>
                  </w14:solidFill>
                </w14:textFill>
              </w:rPr>
              <w:t xml:space="preserve"> </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4.</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费用标准：UNSW官方学费，免申请费</w:t>
            </w:r>
          </w:p>
        </w:tc>
      </w:tr>
      <w:tr>
        <w:trPr>
          <w:trHeight w:val="67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申请办法</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个人申请，院系推荐，择优录取</w:t>
            </w:r>
          </w:p>
        </w:tc>
      </w:tr>
      <w:tr>
        <w:trPr>
          <w:trHeight w:val="67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交流院系介绍</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新南威尔士大学（The University of New South Wales），简称UNSW</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，创立于1949年，共有三大校区，主校区位于</w:t>
            </w:r>
            <w:r>
              <w:fldChar w:fldCharType="begin"/>
            </w:r>
            <w:r>
              <w:instrText xml:space="preserve">HYPERLINK "https://baike.baidu.com/item/%E6%96%B0%E5%8D%97%E5%A8%81%E5%B0%94%E5%A3%AB%E5%B7%9E/4532276" \t "_blank"</w:instrText>
            </w:r>
            <w:r>
              <w:fldChar w:fldCharType="separate"/>
            </w:r>
            <w:r>
              <w:rPr>
                <w:rFonts w:hint="eastAsia" w:ascii="仿宋" w:hAnsi="仿宋" w:eastAsia="仿宋" w:cs="宋体"/>
                <w:color w:val="000000" w:themeColor="text1"/>
                <w:kern w:val="0"/>
                <w:sz w:val="24"/>
                <w14:textFill>
                  <w14:solidFill>
                    <w14:schemeClr w14:val="tx1"/>
                  </w14:solidFill>
                </w14:textFill>
              </w:rPr>
              <w:t>新南威尔士州</w:t>
            </w:r>
            <w:r>
              <w:fldChar w:fldCharType="end"/>
            </w:r>
            <w:r>
              <w:rPr>
                <w:rFonts w:hint="eastAsia" w:ascii="仿宋" w:hAnsi="仿宋" w:eastAsia="仿宋" w:cs="宋体"/>
                <w:color w:val="000000" w:themeColor="text1"/>
                <w:kern w:val="0"/>
                <w:sz w:val="24"/>
                <w14:textFill>
                  <w14:solidFill>
                    <w14:schemeClr w14:val="tx1"/>
                  </w14:solidFill>
                </w14:textFill>
              </w:rPr>
              <w:t>首府</w:t>
            </w:r>
            <w:r>
              <w:fldChar w:fldCharType="begin"/>
            </w:r>
            <w:r>
              <w:instrText xml:space="preserve"> HYPERLINK "https://baike.baidu.com/item/%E6%82%89%E5%B0%BC/31769"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悉尼</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，是</w:t>
            </w:r>
            <w:r>
              <w:fldChar w:fldCharType="begin"/>
            </w:r>
            <w:r>
              <w:instrText xml:space="preserve"> HYPERLINK "https://baike.baidu.com/item/%E6%BE%B3%E5%A4%A7%E5%88%A9%E4%BA%9A/146759"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澳大利亚</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的一所世界顶尖级研究学府，</w:t>
            </w:r>
            <w:r>
              <w:fldChar w:fldCharType="begin"/>
            </w:r>
            <w:r>
              <w:instrText xml:space="preserve"> HYPERLINK "https://baike.baidu.com/item/%E6%BE%B3%E5%A4%A7%E5%88%A9%E4%BA%9A%E5%85%AB%E6%A0%A1%E8%81%94%E7%9B%9F/5575684"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澳大利亚八校联盟</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w:t>
            </w:r>
            <w:r>
              <w:fldChar w:fldCharType="begin"/>
            </w:r>
            <w:r>
              <w:instrText xml:space="preserve"> HYPERLINK "https://baike.baidu.com/item/%E7%8E%AF%E5%A4%AA%E5%B9%B3%E6%B4%8B%E5%A4%A7%E5%AD%A6%E8%81%94%E7%9B%9F"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环太平洋大学联盟</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w:t>
            </w:r>
            <w:r>
              <w:fldChar w:fldCharType="begin"/>
            </w:r>
            <w:r>
              <w:instrText xml:space="preserve"> HYPERLINK "https://baike.baidu.com/item/%E5%9B%BD%E9%99%85%E7%A7%91%E6%8A%80%E5%A4%A7%E5%AD%A6%E8%81%94%E7%9B%9F/22393412"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国际科技大学联盟</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和</w:t>
            </w:r>
            <w:r>
              <w:fldChar w:fldCharType="begin"/>
            </w:r>
            <w:r>
              <w:instrText xml:space="preserve"> HYPERLINK "https://baike.baidu.com/item/Universitas%2021"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Universitas 21</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成员，是整个南半球首屈一指的学术殿堂和全球著名的高等学府。2016年，在中澳两国总理见证下，中国</w:t>
            </w:r>
            <w:r>
              <w:fldChar w:fldCharType="begin"/>
            </w:r>
            <w:r>
              <w:instrText xml:space="preserve">HYPERLINK "https://baike.baidu.com/item/%E7%A7%91%E6%8A%80%E9%83%A8/9782755" \t "_blank"</w:instrText>
            </w:r>
            <w:r>
              <w:fldChar w:fldCharType="separate"/>
            </w:r>
            <w:r>
              <w:rPr>
                <w:rFonts w:hint="eastAsia" w:ascii="仿宋" w:hAnsi="仿宋" w:eastAsia="仿宋" w:cs="宋体"/>
                <w:color w:val="000000" w:themeColor="text1"/>
                <w:kern w:val="0"/>
                <w:sz w:val="24"/>
                <w14:textFill>
                  <w14:solidFill>
                    <w14:schemeClr w14:val="tx1"/>
                  </w14:solidFill>
                </w14:textFill>
              </w:rPr>
              <w:t>科技部</w:t>
            </w:r>
            <w:r>
              <w:fldChar w:fldCharType="end"/>
            </w:r>
            <w:r>
              <w:rPr>
                <w:rFonts w:hint="eastAsia" w:ascii="仿宋" w:hAnsi="仿宋" w:eastAsia="仿宋" w:cs="宋体"/>
                <w:color w:val="000000" w:themeColor="text1"/>
                <w:kern w:val="0"/>
                <w:sz w:val="24"/>
                <w14:textFill>
                  <w14:solidFill>
                    <w14:schemeClr w14:val="tx1"/>
                  </w14:solidFill>
                </w14:textFill>
              </w:rPr>
              <w:t>与新南威尔士大学达成合作协议，两国将于2020年在校园内共建火炬创新园，推进两国在</w:t>
            </w:r>
            <w:r>
              <w:fldChar w:fldCharType="begin"/>
            </w:r>
            <w:r>
              <w:instrText xml:space="preserve">HYPERLINK "https://baike.baidu.com/item/%E8%83%BD%E6%BA%90%E6%8A%80%E6%9C%AF/5908322" \t "_blank"</w:instrText>
            </w:r>
            <w:r>
              <w:fldChar w:fldCharType="separate"/>
            </w:r>
            <w:r>
              <w:rPr>
                <w:rFonts w:hint="eastAsia" w:ascii="仿宋" w:hAnsi="仿宋" w:eastAsia="仿宋" w:cs="宋体"/>
                <w:color w:val="000000" w:themeColor="text1"/>
                <w:kern w:val="0"/>
                <w:sz w:val="24"/>
                <w14:textFill>
                  <w14:solidFill>
                    <w14:schemeClr w14:val="tx1"/>
                  </w14:solidFill>
                </w14:textFill>
              </w:rPr>
              <w:t>能源技术</w:t>
            </w:r>
            <w:r>
              <w:fldChar w:fldCharType="end"/>
            </w:r>
            <w:r>
              <w:rPr>
                <w:rFonts w:hint="eastAsia" w:ascii="仿宋" w:hAnsi="仿宋" w:eastAsia="仿宋" w:cs="宋体"/>
                <w:color w:val="000000" w:themeColor="text1"/>
                <w:kern w:val="0"/>
                <w:sz w:val="24"/>
                <w14:textFill>
                  <w14:solidFill>
                    <w14:schemeClr w14:val="tx1"/>
                  </w14:solidFill>
                </w14:textFill>
              </w:rPr>
              <w:t>、</w:t>
            </w:r>
            <w:r>
              <w:fldChar w:fldCharType="begin"/>
            </w:r>
            <w:r>
              <w:instrText xml:space="preserve"> HYPERLINK "https://baike.baidu.com/item/%E5%85%88%E8%BF%9B%E6%9D%90%E6%96%99/7030381"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先进材料</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等高科技领域合作。</w:t>
            </w:r>
          </w:p>
        </w:tc>
      </w:tr>
      <w:tr>
        <w:trPr>
          <w:trHeight w:val="671" w:hRule="atLeast"/>
        </w:trPr>
        <w:tc>
          <w:tcPr>
            <w:tcW w:w="2161" w:type="dxa"/>
            <w:vAlign w:val="center"/>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b/>
                <w:color w:val="000000" w:themeColor="text1"/>
                <w:sz w:val="24"/>
                <w14:textFill>
                  <w14:solidFill>
                    <w14:schemeClr w14:val="tx1"/>
                  </w14:solidFill>
                </w14:textFill>
              </w:rPr>
              <w:t>报名咨询方式</w:t>
            </w:r>
          </w:p>
        </w:tc>
        <w:tc>
          <w:tcPr>
            <w:tcW w:w="6515" w:type="dxa"/>
            <w:vAlign w:val="center"/>
          </w:tcPr>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jc w:val="left"/>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49" w:name="_Toc239324150"/>
      <w:bookmarkStart w:id="50" w:name="_Toc26517"/>
      <w:r>
        <w:rPr>
          <w:rFonts w:hint="eastAsia" w:ascii="仿宋" w:hAnsi="仿宋" w:eastAsia="仿宋"/>
          <w:sz w:val="36"/>
          <w:szCs w:val="36"/>
        </w:rPr>
        <w:t>澳大利亚纽卡斯尔大学</w:t>
      </w:r>
      <w:bookmarkEnd w:id="49"/>
      <w:bookmarkEnd w:id="50"/>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5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297"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不限（须国外院校有符合的相关课程）</w:t>
            </w:r>
          </w:p>
        </w:tc>
      </w:tr>
      <w:tr>
        <w:trPr>
          <w:trHeight w:val="305"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学费大致为$440一周（2019）/$455一周（2020）</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请咨询纽卡斯尔大学官网https://www.newcastle.edu.au</w:t>
            </w:r>
          </w:p>
        </w:tc>
      </w:tr>
      <w:tr>
        <w:trPr>
          <w:trHeight w:val="67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（4）较强的英语沟通能力（雅思不低于6）。</w:t>
            </w:r>
          </w:p>
        </w:tc>
      </w:tr>
      <w:tr>
        <w:trPr>
          <w:trHeight w:val="671" w:hRule="atLeast"/>
        </w:trPr>
        <w:tc>
          <w:tcPr>
            <w:tcW w:w="198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交流院系介绍</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14:textFill>
                  <w14:solidFill>
                    <w14:schemeClr w14:val="tx1"/>
                  </w14:solidFill>
                </w14:textFill>
              </w:rPr>
              <w:t>纽卡斯尔大学建校于1965年，是隶属于澳大利亚政府的著名大学，位于澳大利亚纽卡斯尔市。纽卡斯尔大学作为澳大利亚著名大学，不论在教育还是在研究领域，在澳大利亚都居领先及创新地位，吸引了世界各地高素质的学生和教学人员，也是国际上公认的“由问题指导学习”方法的先驱。2020年QS世界大学排名为276名，2019年USNews世界大学排名为207名。纽卡斯尔大学由11个学院，即：工商管理、建筑、法律、工程、教育、护理、音乐、经济与商务艺术设计、艺术与社会科学、医药与健康科学等。纽卡斯尔大学商学院是世界最高标准</w:t>
            </w:r>
            <w:r>
              <w:fldChar w:fldCharType="begin"/>
            </w:r>
            <w:r>
              <w:instrText xml:space="preserve"> HYPERLINK "file:////item/AACSB/9735433" \t "_blank" </w:instrText>
            </w:r>
            <w:r>
              <w:fldChar w:fldCharType="separate"/>
            </w:r>
            <w:r>
              <w:rPr>
                <w:rStyle w:val="35"/>
                <w:rFonts w:hint="eastAsia" w:ascii="仿宋" w:hAnsi="仿宋" w:eastAsia="仿宋" w:cs="宋体"/>
                <w:color w:val="000000" w:themeColor="text1"/>
                <w:sz w:val="24"/>
                <w:u w:val="none"/>
                <w14:textFill>
                  <w14:solidFill>
                    <w14:schemeClr w14:val="tx1"/>
                  </w14:solidFill>
                </w14:textFill>
              </w:rPr>
              <w:t>AACSB</w:t>
            </w:r>
            <w:r>
              <w:rPr>
                <w:rStyle w:val="3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shd w:val="clear" w:color="auto" w:fill="FFFFFF"/>
                <w14:textFill>
                  <w14:solidFill>
                    <w14:schemeClr w14:val="tx1"/>
                  </w14:solidFill>
                </w14:textFill>
              </w:rPr>
              <w:t>认证的商学院，其中纽卡斯尔大学的工商管理专业（</w:t>
            </w:r>
            <w:r>
              <w:fldChar w:fldCharType="begin"/>
            </w:r>
            <w:r>
              <w:instrText xml:space="preserve"> HYPERLINK "file:////item/MBA/10420" \t "_blank" </w:instrText>
            </w:r>
            <w:r>
              <w:fldChar w:fldCharType="separate"/>
            </w:r>
            <w:r>
              <w:rPr>
                <w:rStyle w:val="35"/>
                <w:rFonts w:hint="eastAsia" w:ascii="仿宋" w:hAnsi="仿宋" w:eastAsia="仿宋" w:cs="宋体"/>
                <w:color w:val="000000" w:themeColor="text1"/>
                <w:sz w:val="24"/>
                <w:u w:val="none"/>
                <w14:textFill>
                  <w14:solidFill>
                    <w14:schemeClr w14:val="tx1"/>
                  </w14:solidFill>
                </w14:textFill>
              </w:rPr>
              <w:t>MBA</w:t>
            </w:r>
            <w:r>
              <w:rPr>
                <w:rStyle w:val="3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shd w:val="clear" w:color="auto" w:fill="FFFFFF"/>
                <w14:textFill>
                  <w14:solidFill>
                    <w14:schemeClr w14:val="tx1"/>
                  </w14:solidFill>
                </w14:textFill>
              </w:rPr>
              <w:t>）已有21年的历史，持有该学院MBA学位的学生，将有资格成为澳大利亚工商管理学会（CMAA）的成员。同时，她的建筑学、工程学、医学以及护理学在澳大利亚始终处于一流水平。历年来纽卡斯尔大学的科研资金排名始终处于前十名，也是国际公认的优秀科研中心。</w:t>
            </w:r>
          </w:p>
        </w:tc>
      </w:tr>
      <w:tr>
        <w:trPr>
          <w:trHeight w:val="274"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51" w:name="_Toc28551"/>
      <w:bookmarkStart w:id="52" w:name="_Toc239324151"/>
      <w:r>
        <w:rPr>
          <w:rFonts w:hint="eastAsia" w:ascii="仿宋" w:hAnsi="仿宋" w:eastAsia="仿宋"/>
          <w:sz w:val="36"/>
          <w:szCs w:val="36"/>
        </w:rPr>
        <w:t>澳大利亚昆士兰科技大学</w:t>
      </w:r>
      <w:bookmarkEnd w:id="51"/>
      <w:bookmarkEnd w:id="52"/>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88"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不限（须国外院校有符合的相关课程）</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学费根据院系不同费用大致为26400～31800澳币</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请咨询昆士兰科技大学官网https://www.qut.edu.au</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（3）品学兼优，学习成绩排名前列，综合表现突出（GPA2.5以上）；</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（4）较强的英语沟通能力（雅思6分）。</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widowControl/>
              <w:spacing w:after="225"/>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昆士兰科技大学于1908年建校，坐落于</w:t>
            </w:r>
            <w:r>
              <w:fldChar w:fldCharType="begin"/>
            </w:r>
            <w:r>
              <w:instrText xml:space="preserve"> HYPERLINK "file:////item/%25E6%25BE%25B3%25E5%25A4%25A7%25E5%2588%25A9%25E4%25BA%259A/146759" \t "_blank" </w:instrText>
            </w:r>
            <w:r>
              <w:fldChar w:fldCharType="separate"/>
            </w:r>
            <w:r>
              <w:rPr>
                <w:rStyle w:val="35"/>
                <w:rFonts w:hint="eastAsia" w:ascii="仿宋" w:hAnsi="仿宋" w:eastAsia="仿宋" w:cs="宋体"/>
                <w:color w:val="000000" w:themeColor="text1"/>
                <w:sz w:val="24"/>
                <w:u w:val="none"/>
                <w14:textFill>
                  <w14:solidFill>
                    <w14:schemeClr w14:val="tx1"/>
                  </w14:solidFill>
                </w14:textFill>
              </w:rPr>
              <w:t>澳大利亚</w:t>
            </w:r>
            <w:r>
              <w:rPr>
                <w:rStyle w:val="35"/>
                <w:rFonts w:hint="eastAsia" w:ascii="仿宋" w:hAnsi="仿宋" w:eastAsia="仿宋" w:cs="宋体"/>
                <w:color w:val="000000" w:themeColor="text1"/>
                <w:sz w:val="24"/>
                <w:u w:val="none"/>
                <w14:textFill>
                  <w14:solidFill>
                    <w14:schemeClr w14:val="tx1"/>
                  </w14:solidFill>
                </w14:textFill>
              </w:rPr>
              <w:fldChar w:fldCharType="end"/>
            </w:r>
            <w:r>
              <w:fldChar w:fldCharType="begin"/>
            </w:r>
            <w:r>
              <w:instrText xml:space="preserve"> HYPERLINK "file:////item/%25E6%2598%2586%25E5%25A3%25AB%25E5%2585%25B0%25E5%25B7%259E/957543" \t "_blank" </w:instrText>
            </w:r>
            <w:r>
              <w:fldChar w:fldCharType="separate"/>
            </w:r>
            <w:r>
              <w:rPr>
                <w:rStyle w:val="35"/>
                <w:rFonts w:hint="eastAsia" w:ascii="仿宋" w:hAnsi="仿宋" w:eastAsia="仿宋" w:cs="宋体"/>
                <w:color w:val="000000" w:themeColor="text1"/>
                <w:sz w:val="24"/>
                <w:u w:val="none"/>
                <w14:textFill>
                  <w14:solidFill>
                    <w14:schemeClr w14:val="tx1"/>
                  </w14:solidFill>
                </w14:textFill>
              </w:rPr>
              <w:t>昆士兰州</w:t>
            </w:r>
            <w:r>
              <w:rPr>
                <w:rStyle w:val="35"/>
                <w:rFonts w:hint="eastAsia" w:ascii="仿宋" w:hAnsi="仿宋" w:eastAsia="仿宋" w:cs="宋体"/>
                <w:color w:val="000000" w:themeColor="text1"/>
                <w:sz w:val="24"/>
                <w:u w:val="none"/>
                <w14:textFill>
                  <w14:solidFill>
                    <w14:schemeClr w14:val="tx1"/>
                  </w14:solidFill>
                </w14:textFill>
              </w:rPr>
              <w:fldChar w:fldCharType="end"/>
            </w:r>
            <w:r>
              <w:fldChar w:fldCharType="begin"/>
            </w:r>
            <w:r>
              <w:instrText xml:space="preserve"> HYPERLINK "file:////item/%25E5%25B8%2583%25E9%2587%258C%25E6%2596%25AF%25E7%258F%25AD" \t "_blank" </w:instrText>
            </w:r>
            <w:r>
              <w:fldChar w:fldCharType="separate"/>
            </w:r>
            <w:r>
              <w:rPr>
                <w:rStyle w:val="35"/>
                <w:rFonts w:hint="eastAsia" w:ascii="仿宋" w:hAnsi="仿宋" w:eastAsia="仿宋" w:cs="宋体"/>
                <w:color w:val="000000" w:themeColor="text1"/>
                <w:sz w:val="24"/>
                <w:u w:val="none"/>
                <w14:textFill>
                  <w14:solidFill>
                    <w14:schemeClr w14:val="tx1"/>
                  </w14:solidFill>
                </w14:textFill>
              </w:rPr>
              <w:t>布里斯班</w:t>
            </w:r>
            <w:r>
              <w:rPr>
                <w:rStyle w:val="3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市区。学校的教学注重结合实际应用，这种教育特点使学校和昆士兰的业界保持了密切的合作关系，学校的研究和教育方向以符合就业市场的需求为主，学生经常参与业界的实际方案研讨。昆士兰科技大学是一所研究性大学，在澳洲大学中排名前十，世界TOP 3%，现有本科生近35,000人，研究生5,000人，国际学生共6,000人，位列2020</w:t>
            </w:r>
            <w:r>
              <w:fldChar w:fldCharType="begin"/>
            </w:r>
            <w:r>
              <w:instrText xml:space="preserve"> HYPERLINK "file:////item/%25E6%25B3%25B0%25E6%2599%25A4%25E5%25A3%25AB%25E9%25AB%2598%25E7%25AD%2589%25E6%2595%2599%25E8%2582%25B2%25E4%25B8%2596%25E7%2595%258C%25E5%25A4%25A7%25E5%25AD%25A6%25E6%258E%2592%25E5%2590%258D/4081934" \t "_blank" </w:instrText>
            </w:r>
            <w:r>
              <w:fldChar w:fldCharType="separate"/>
            </w:r>
            <w:r>
              <w:rPr>
                <w:rStyle w:val="35"/>
                <w:rFonts w:hint="eastAsia" w:ascii="仿宋" w:hAnsi="仿宋" w:eastAsia="仿宋" w:cs="宋体"/>
                <w:color w:val="000000" w:themeColor="text1"/>
                <w:sz w:val="24"/>
                <w:u w:val="none"/>
                <w14:textFill>
                  <w14:solidFill>
                    <w14:schemeClr w14:val="tx1"/>
                  </w14:solidFill>
                </w14:textFill>
              </w:rPr>
              <w:t>泰晤士高等教育世界大学排名</w:t>
            </w:r>
            <w:r>
              <w:rPr>
                <w:rStyle w:val="3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第179位，2020</w:t>
            </w:r>
            <w:r>
              <w:fldChar w:fldCharType="begin"/>
            </w:r>
            <w:r>
              <w:instrText xml:space="preserve"> HYPERLINK "file:////item/QS%25E4%25B8%2596%25E7%2595%258C%25E5%25A4%25A7%25E5%25AD%25A6%25E6%258E%2592%25E5%2590%258D/3292552" \t "_blank" </w:instrText>
            </w:r>
            <w:r>
              <w:fldChar w:fldCharType="separate"/>
            </w:r>
            <w:r>
              <w:rPr>
                <w:rStyle w:val="35"/>
                <w:rFonts w:hint="eastAsia" w:ascii="仿宋" w:hAnsi="仿宋" w:eastAsia="仿宋" w:cs="宋体"/>
                <w:color w:val="000000" w:themeColor="text1"/>
                <w:sz w:val="24"/>
                <w:u w:val="none"/>
                <w14:textFill>
                  <w14:solidFill>
                    <w14:schemeClr w14:val="tx1"/>
                  </w14:solidFill>
                </w14:textFill>
              </w:rPr>
              <w:t>QS世界大学排名</w:t>
            </w:r>
            <w:r>
              <w:rPr>
                <w:rStyle w:val="3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第224位</w:t>
            </w:r>
            <w:bookmarkStart w:id="53" w:name="ref_[2]_184747"/>
            <w:r>
              <w:rPr>
                <w:rFonts w:ascii="Calibri" w:hAnsi="Calibri" w:eastAsia="仿宋" w:cs="Calibri"/>
                <w:color w:val="000000" w:themeColor="text1"/>
                <w:kern w:val="0"/>
                <w:sz w:val="24"/>
                <w14:textFill>
                  <w14:solidFill>
                    <w14:schemeClr w14:val="tx1"/>
                  </w14:solidFill>
                </w14:textFill>
              </w:rPr>
              <w:t> </w:t>
            </w:r>
            <w:bookmarkEnd w:id="53"/>
            <w:r>
              <w:rPr>
                <w:rFonts w:hint="eastAsia" w:ascii="仿宋" w:hAnsi="仿宋" w:eastAsia="仿宋" w:cs="宋体"/>
                <w:color w:val="000000" w:themeColor="text1"/>
                <w:kern w:val="0"/>
                <w:sz w:val="24"/>
                <w14:textFill>
                  <w14:solidFill>
                    <w14:schemeClr w14:val="tx1"/>
                  </w14:solidFill>
                </w14:textFill>
              </w:rPr>
              <w:t>。杰出专业包括</w:t>
            </w:r>
            <w:r>
              <w:rPr>
                <w:rFonts w:hint="eastAsia" w:ascii="仿宋" w:hAnsi="仿宋" w:eastAsia="仿宋" w:cs="宋体"/>
                <w:color w:val="000000" w:themeColor="text1"/>
                <w:kern w:val="0"/>
                <w:sz w:val="24"/>
                <w:shd w:val="clear" w:color="auto" w:fill="FFFFFF"/>
                <w14:textFill>
                  <w14:solidFill>
                    <w14:schemeClr w14:val="tx1"/>
                  </w14:solidFill>
                </w14:textFill>
              </w:rPr>
              <w:t>会计、金融、管理、市场营销、经济、人力资源管理、公共关系管理、软件、信息系统、软件工程、信息管理、土木工程、工业设计、室内设计、工程管理、景观建筑学、环境工程、通讯技术等。</w:t>
            </w:r>
          </w:p>
        </w:tc>
      </w:tr>
      <w:tr>
        <w:trPr>
          <w:trHeight w:val="671" w:hRule="atLeast"/>
        </w:trPr>
        <w:tc>
          <w:tcPr>
            <w:tcW w:w="1985" w:type="dxa"/>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p>
    <w:p>
      <w:pPr>
        <w:rPr>
          <w:rFonts w:hint="eastAsia" w:ascii="仿宋" w:hAnsi="仿宋" w:eastAsia="仿宋"/>
          <w:color w:val="404040" w:themeColor="text1" w:themeTint="BF"/>
          <w:sz w:val="36"/>
          <w:szCs w:val="36"/>
          <w14:textFill>
            <w14:solidFill>
              <w14:schemeClr w14:val="tx1">
                <w14:lumMod w14:val="75000"/>
                <w14:lumOff w14:val="25000"/>
              </w14:schemeClr>
            </w14:solidFill>
          </w14:textFill>
        </w:rPr>
      </w:pPr>
    </w:p>
    <w:p>
      <w:pPr>
        <w:pStyle w:val="4"/>
        <w:ind w:firstLine="3253" w:firstLineChars="900"/>
        <w:rPr>
          <w:rFonts w:hint="eastAsia" w:ascii="仿宋" w:hAnsi="仿宋" w:eastAsia="仿宋"/>
          <w:sz w:val="36"/>
          <w:szCs w:val="36"/>
        </w:rPr>
      </w:pPr>
      <w:bookmarkStart w:id="54" w:name="_Toc25313"/>
    </w:p>
    <w:p>
      <w:pPr>
        <w:pStyle w:val="4"/>
        <w:ind w:firstLine="3253" w:firstLineChars="900"/>
        <w:rPr>
          <w:rFonts w:hint="eastAsia" w:ascii="仿宋" w:hAnsi="仿宋" w:eastAsia="仿宋"/>
          <w:sz w:val="36"/>
          <w:szCs w:val="36"/>
        </w:rPr>
      </w:pPr>
      <w:bookmarkStart w:id="55" w:name="_Toc32636"/>
      <w:bookmarkStart w:id="56" w:name="_Toc239324152"/>
      <w:r>
        <w:rPr>
          <w:rFonts w:hint="eastAsia" w:ascii="仿宋" w:hAnsi="仿宋" w:eastAsia="仿宋"/>
          <w:sz w:val="36"/>
          <w:szCs w:val="36"/>
        </w:rPr>
        <w:t>韩国延世大学</w:t>
      </w:r>
      <w:bookmarkEnd w:id="54"/>
      <w:bookmarkEnd w:id="55"/>
      <w:bookmarkEnd w:id="56"/>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不限（须国外院校有符合的相关课程）</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不限（自费）</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31000元/学期</w:t>
            </w:r>
          </w:p>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请咨询延世大学官网https://www.yonsei.ac.kr</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（3）品学兼优，学习成绩排名前列，GPA不低于2.5/4.0;</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（4）较强的英语沟通能力（要求雅思不低于6.5或托福不低于79）。</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延世大学位于韩国首尔，是一所以基督教精神建立的世界顶尖研究型综合大学，与首尔大学和高丽大学并称为韩国大学的一片天，位列韩国SKY顶尖大学第3位，韩国公认最著名的三所大学之一。为环太平洋大学联盟成员。世界大学排名中一直名列全球前150位以内，成立于1885年，是韩国最古老的大学。2019泰晤士世界大学排名商业、创新、基础设施世界第一。学校设置文科学院、教育科学学院、神科学院、商经学院、社会科学学院、法科学院、理科学院、生活科学学院、牙科学院、护理学院、工科学院经、法学院、保健科学院、医科学院。</w:t>
            </w:r>
          </w:p>
        </w:tc>
      </w:tr>
      <w:tr>
        <w:trPr>
          <w:trHeight w:val="671" w:hRule="atLeast"/>
        </w:trPr>
        <w:tc>
          <w:tcPr>
            <w:tcW w:w="1985" w:type="dxa"/>
            <w:vAlign w:val="center"/>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bookmarkStart w:id="57" w:name="_Toc17289"/>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p>
    <w:p>
      <w:pPr>
        <w:pStyle w:val="4"/>
        <w:jc w:val="center"/>
        <w:rPr>
          <w:rFonts w:hint="eastAsia" w:ascii="仿宋" w:hAnsi="仿宋" w:eastAsia="仿宋"/>
          <w:sz w:val="36"/>
          <w:szCs w:val="36"/>
        </w:rPr>
      </w:pPr>
      <w:bookmarkStart w:id="58" w:name="_Toc17192"/>
      <w:bookmarkStart w:id="59" w:name="_Toc239324153"/>
      <w:r>
        <w:rPr>
          <w:rFonts w:hint="eastAsia" w:ascii="仿宋" w:hAnsi="仿宋" w:eastAsia="仿宋"/>
          <w:sz w:val="36"/>
          <w:szCs w:val="36"/>
        </w:rPr>
        <w:t>韩国崇实大学</w:t>
      </w:r>
      <w:bookmarkEnd w:id="57"/>
      <w:bookmarkEnd w:id="58"/>
      <w:bookmarkEnd w:id="59"/>
    </w:p>
    <w:tbl>
      <w:tblPr>
        <w:tblStyle w:val="3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每学期选派优秀本科生进行交流学习。学习结束后，学生可将相关学分转换回我校</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申请时为大二或大三全日制在读本科生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请咨询崇实大学官网https://study.ssu.ac.kr/en/main/main.do</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27"/>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（1) 热爱祖国，具有良好的政治思想素质，在校期间无违法违纪记录；</w:t>
            </w:r>
          </w:p>
          <w:p>
            <w:pPr>
              <w:pStyle w:val="27"/>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（2) 身心健康，无不适合在外学习的疾病史；</w:t>
            </w:r>
          </w:p>
          <w:p>
            <w:pPr>
              <w:pStyle w:val="27"/>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（3) 品学兼优，学习成绩排名前列，综合表现突出；</w:t>
            </w:r>
          </w:p>
          <w:p>
            <w:pPr>
              <w:pStyle w:val="27"/>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（4) 外语水平优秀者优先。（雅思</w:t>
            </w:r>
            <w:r>
              <w:rPr>
                <w:rFonts w:ascii="仿宋" w:hAnsi="仿宋" w:eastAsia="仿宋" w:cs="宋体"/>
                <w:color w:val="000000" w:themeColor="text1"/>
                <w:spacing w:val="8"/>
                <w:shd w:val="clear" w:color="auto" w:fill="FFFFFF"/>
                <w14:textFill>
                  <w14:solidFill>
                    <w14:schemeClr w14:val="tx1"/>
                  </w14:solidFill>
                </w14:textFill>
              </w:rPr>
              <w:t>5分或者托福70分及以上）</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27"/>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27"/>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崇实大学是一所位于韩国首尔著名的基督教私立大学。地点在首尔市中心地铁七号线崇实大学站，它也是韩国最初的综合性大学。秉承着校训‘真理与奉献’的精神，该校的工学专业，计算机专业，社会福利专业名列前茅，该专业的教授在韩国享有盛誉。并且该校拥有全韩国最大的炯工业专业楼。</w:t>
            </w:r>
          </w:p>
        </w:tc>
      </w:tr>
      <w:tr>
        <w:trPr>
          <w:trHeight w:val="671" w:hRule="atLeast"/>
        </w:trPr>
        <w:tc>
          <w:tcPr>
            <w:tcW w:w="1985" w:type="dxa"/>
            <w:vAlign w:val="center"/>
          </w:tcPr>
          <w:p>
            <w:pPr>
              <w:pStyle w:val="27"/>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27"/>
        <w:widowControl/>
        <w:shd w:val="clear" w:color="auto" w:fill="FFFFFF"/>
        <w:rPr>
          <w:rFonts w:hint="eastAsia" w:ascii="仿宋" w:hAnsi="仿宋" w:eastAsia="仿宋" w:cs="宋体"/>
          <w:b/>
          <w:bCs/>
          <w:color w:val="000000" w:themeColor="text1"/>
          <w:shd w:val="clear" w:color="auto" w:fill="FFFFFF"/>
          <w14:textFill>
            <w14:solidFill>
              <w14:schemeClr w14:val="tx1"/>
            </w14:solidFill>
          </w14:textFill>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swiss"/>
    <w:pitch w:val="default"/>
    <w:sig w:usb0="00000000" w:usb1="00000000" w:usb2="00000009" w:usb3="00000000" w:csb0="000001FF" w:csb1="00000000"/>
  </w:font>
  <w:font w:name="仿宋">
    <w:altName w:val="方正仿宋_GBK"/>
    <w:panose1 w:val="02010609060101010101"/>
    <w:charset w:val="86"/>
    <w:family w:val="modern"/>
    <w:pitch w:val="default"/>
    <w:sig w:usb0="00000000" w:usb1="00000000" w:usb2="00000016" w:usb3="00000000" w:csb0="00040001" w:csb1="00000000"/>
  </w:font>
  <w:font w:name="Malgun Gothic">
    <w:altName w:val="Apple SD Gothic Neo"/>
    <w:panose1 w:val="020B0503020000020004"/>
    <w:charset w:val="81"/>
    <w:family w:val="swiss"/>
    <w:pitch w:val="default"/>
    <w:sig w:usb0="00000000" w:usb1="00000000" w:usb2="00000012" w:usb3="00000000" w:csb0="0008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pple SD Gothic Neo">
    <w:panose1 w:val="02000300000000000000"/>
    <w:charset w:val="81"/>
    <w:family w:val="auto"/>
    <w:pitch w:val="default"/>
    <w:sig w:usb0="00000203" w:usb1="21D12C10" w:usb2="00000010" w:usb3="00000000" w:csb0="00280005"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Pr>
      <w:t>1</w:t>
    </w:r>
    <w:r>
      <w:rPr>
        <w:rStyle w:val="34"/>
      </w:rPr>
      <w:fldChar w:fldCharType="end"/>
    </w:r>
  </w:p>
  <w:p>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34"/>
      </w:rPr>
    </w:pPr>
    <w:r>
      <w:rPr>
        <w:rStyle w:val="34"/>
      </w:rPr>
      <w:fldChar w:fldCharType="begin"/>
    </w:r>
    <w:r>
      <w:rPr>
        <w:rStyle w:val="34"/>
      </w:rPr>
      <w:instrText xml:space="preserve">PAGE  </w:instrText>
    </w:r>
    <w:r>
      <w:rPr>
        <w:rStyle w:val="34"/>
      </w:rPr>
      <w:fldChar w:fldCharType="end"/>
    </w:r>
  </w:p>
  <w:p>
    <w:pPr>
      <w:pStyle w:val="1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5ZmMyZTIwMzFhN2NhZWFmNDg2YWEzYThlYmY4NzgifQ=="/>
  </w:docVars>
  <w:rsids>
    <w:rsidRoot w:val="35B637C3"/>
    <w:rsid w:val="0000302C"/>
    <w:rsid w:val="000170D4"/>
    <w:rsid w:val="00042630"/>
    <w:rsid w:val="0006648A"/>
    <w:rsid w:val="000C7727"/>
    <w:rsid w:val="000D0A5E"/>
    <w:rsid w:val="00117094"/>
    <w:rsid w:val="00122C08"/>
    <w:rsid w:val="00123A52"/>
    <w:rsid w:val="00147B49"/>
    <w:rsid w:val="001A25C7"/>
    <w:rsid w:val="001D267A"/>
    <w:rsid w:val="001E0B59"/>
    <w:rsid w:val="00204706"/>
    <w:rsid w:val="00241F68"/>
    <w:rsid w:val="002A051F"/>
    <w:rsid w:val="002C32ED"/>
    <w:rsid w:val="002E4C53"/>
    <w:rsid w:val="002F6A10"/>
    <w:rsid w:val="00320724"/>
    <w:rsid w:val="0032228F"/>
    <w:rsid w:val="00335532"/>
    <w:rsid w:val="00344EAD"/>
    <w:rsid w:val="00354CCD"/>
    <w:rsid w:val="00366073"/>
    <w:rsid w:val="00395AF8"/>
    <w:rsid w:val="003B0EF6"/>
    <w:rsid w:val="003B75FB"/>
    <w:rsid w:val="00415E23"/>
    <w:rsid w:val="00437DA0"/>
    <w:rsid w:val="004856AE"/>
    <w:rsid w:val="004B06C3"/>
    <w:rsid w:val="004D7D89"/>
    <w:rsid w:val="004E3F03"/>
    <w:rsid w:val="004F0007"/>
    <w:rsid w:val="004F6E0F"/>
    <w:rsid w:val="00541DBF"/>
    <w:rsid w:val="005622C5"/>
    <w:rsid w:val="005967DD"/>
    <w:rsid w:val="005A0CBD"/>
    <w:rsid w:val="005B332D"/>
    <w:rsid w:val="005B34AC"/>
    <w:rsid w:val="005F6D19"/>
    <w:rsid w:val="006019F4"/>
    <w:rsid w:val="00606645"/>
    <w:rsid w:val="00613B5B"/>
    <w:rsid w:val="00621431"/>
    <w:rsid w:val="006409CD"/>
    <w:rsid w:val="006832D2"/>
    <w:rsid w:val="006B156E"/>
    <w:rsid w:val="006C6A54"/>
    <w:rsid w:val="006D1174"/>
    <w:rsid w:val="007243E5"/>
    <w:rsid w:val="007264A7"/>
    <w:rsid w:val="00751781"/>
    <w:rsid w:val="00792C12"/>
    <w:rsid w:val="007A4414"/>
    <w:rsid w:val="007E4A14"/>
    <w:rsid w:val="007F26EA"/>
    <w:rsid w:val="00832C57"/>
    <w:rsid w:val="00841A7E"/>
    <w:rsid w:val="008639C3"/>
    <w:rsid w:val="0087380F"/>
    <w:rsid w:val="008750B2"/>
    <w:rsid w:val="008E0369"/>
    <w:rsid w:val="008F1796"/>
    <w:rsid w:val="00901A7F"/>
    <w:rsid w:val="00915445"/>
    <w:rsid w:val="0095571D"/>
    <w:rsid w:val="00956197"/>
    <w:rsid w:val="00957993"/>
    <w:rsid w:val="009721E4"/>
    <w:rsid w:val="0098061F"/>
    <w:rsid w:val="009B57FF"/>
    <w:rsid w:val="009C17F6"/>
    <w:rsid w:val="009E3BDD"/>
    <w:rsid w:val="009F3E94"/>
    <w:rsid w:val="009F7BD6"/>
    <w:rsid w:val="00A17A32"/>
    <w:rsid w:val="00A449EA"/>
    <w:rsid w:val="00A64D00"/>
    <w:rsid w:val="00A7592D"/>
    <w:rsid w:val="00AC5CB7"/>
    <w:rsid w:val="00AE62CE"/>
    <w:rsid w:val="00AF4110"/>
    <w:rsid w:val="00B0170B"/>
    <w:rsid w:val="00B0769C"/>
    <w:rsid w:val="00B1082F"/>
    <w:rsid w:val="00B63757"/>
    <w:rsid w:val="00B84A24"/>
    <w:rsid w:val="00C01B8C"/>
    <w:rsid w:val="00C03FF7"/>
    <w:rsid w:val="00C44C10"/>
    <w:rsid w:val="00C83D7E"/>
    <w:rsid w:val="00CA10B5"/>
    <w:rsid w:val="00CA1AA3"/>
    <w:rsid w:val="00CA2889"/>
    <w:rsid w:val="00CD4C7B"/>
    <w:rsid w:val="00CF06B6"/>
    <w:rsid w:val="00CF660D"/>
    <w:rsid w:val="00D05290"/>
    <w:rsid w:val="00D14848"/>
    <w:rsid w:val="00D26FAA"/>
    <w:rsid w:val="00D47B01"/>
    <w:rsid w:val="00D94D74"/>
    <w:rsid w:val="00DC3089"/>
    <w:rsid w:val="00E24242"/>
    <w:rsid w:val="00E432F7"/>
    <w:rsid w:val="00E44B1D"/>
    <w:rsid w:val="00E54F8F"/>
    <w:rsid w:val="00E61D20"/>
    <w:rsid w:val="00E80055"/>
    <w:rsid w:val="00E966E8"/>
    <w:rsid w:val="00EA1238"/>
    <w:rsid w:val="00EC01B0"/>
    <w:rsid w:val="00ED3278"/>
    <w:rsid w:val="00F06075"/>
    <w:rsid w:val="00F15835"/>
    <w:rsid w:val="00F22916"/>
    <w:rsid w:val="00F40BA0"/>
    <w:rsid w:val="00F51C7B"/>
    <w:rsid w:val="00F73B36"/>
    <w:rsid w:val="00F766A0"/>
    <w:rsid w:val="00FA2AC1"/>
    <w:rsid w:val="00FB5F16"/>
    <w:rsid w:val="00FD0963"/>
    <w:rsid w:val="033835C5"/>
    <w:rsid w:val="041554E7"/>
    <w:rsid w:val="043E5A21"/>
    <w:rsid w:val="054349B2"/>
    <w:rsid w:val="05553232"/>
    <w:rsid w:val="059C4CEC"/>
    <w:rsid w:val="05FA04B5"/>
    <w:rsid w:val="077E7282"/>
    <w:rsid w:val="082B5D4C"/>
    <w:rsid w:val="086E3F88"/>
    <w:rsid w:val="0ABB4D47"/>
    <w:rsid w:val="0CAF1884"/>
    <w:rsid w:val="0EA622B2"/>
    <w:rsid w:val="1099027C"/>
    <w:rsid w:val="119B7881"/>
    <w:rsid w:val="12494EC1"/>
    <w:rsid w:val="126B3217"/>
    <w:rsid w:val="1534632A"/>
    <w:rsid w:val="15C34C76"/>
    <w:rsid w:val="17783479"/>
    <w:rsid w:val="18B330A4"/>
    <w:rsid w:val="196947C5"/>
    <w:rsid w:val="19CB4F4F"/>
    <w:rsid w:val="19ED7944"/>
    <w:rsid w:val="1C8B0D4A"/>
    <w:rsid w:val="1FD66EDA"/>
    <w:rsid w:val="1FF9718D"/>
    <w:rsid w:val="21E528FE"/>
    <w:rsid w:val="24446BEF"/>
    <w:rsid w:val="24C95BA6"/>
    <w:rsid w:val="25093983"/>
    <w:rsid w:val="255C37FB"/>
    <w:rsid w:val="255D4F4D"/>
    <w:rsid w:val="257944EB"/>
    <w:rsid w:val="273E5983"/>
    <w:rsid w:val="29CB051A"/>
    <w:rsid w:val="2AC86FEF"/>
    <w:rsid w:val="2D8A831E"/>
    <w:rsid w:val="2ED60CC9"/>
    <w:rsid w:val="2F731F59"/>
    <w:rsid w:val="2F91256B"/>
    <w:rsid w:val="2FE64FE7"/>
    <w:rsid w:val="302007CF"/>
    <w:rsid w:val="30334B55"/>
    <w:rsid w:val="30C9113B"/>
    <w:rsid w:val="317617CB"/>
    <w:rsid w:val="31CA628E"/>
    <w:rsid w:val="326E20D9"/>
    <w:rsid w:val="327A2A20"/>
    <w:rsid w:val="3358071D"/>
    <w:rsid w:val="35634F9A"/>
    <w:rsid w:val="35B637C3"/>
    <w:rsid w:val="35D70997"/>
    <w:rsid w:val="364944FB"/>
    <w:rsid w:val="36804BA6"/>
    <w:rsid w:val="38AF0395"/>
    <w:rsid w:val="3B202CC9"/>
    <w:rsid w:val="3D381641"/>
    <w:rsid w:val="3EF81A54"/>
    <w:rsid w:val="3EFC5C2C"/>
    <w:rsid w:val="3F7F0CD4"/>
    <w:rsid w:val="3FA22D0E"/>
    <w:rsid w:val="3FF7C12B"/>
    <w:rsid w:val="429E645D"/>
    <w:rsid w:val="452403F0"/>
    <w:rsid w:val="4636055E"/>
    <w:rsid w:val="46667D6A"/>
    <w:rsid w:val="49587E5E"/>
    <w:rsid w:val="4AA361CC"/>
    <w:rsid w:val="4AA577B6"/>
    <w:rsid w:val="4C2F4236"/>
    <w:rsid w:val="4DF04E21"/>
    <w:rsid w:val="4DF55042"/>
    <w:rsid w:val="4E1216B9"/>
    <w:rsid w:val="4EBE4E15"/>
    <w:rsid w:val="510312D5"/>
    <w:rsid w:val="5252669C"/>
    <w:rsid w:val="52A054C0"/>
    <w:rsid w:val="52D37E4D"/>
    <w:rsid w:val="53077268"/>
    <w:rsid w:val="54214779"/>
    <w:rsid w:val="55101B7A"/>
    <w:rsid w:val="573C3213"/>
    <w:rsid w:val="590113B4"/>
    <w:rsid w:val="590E55C8"/>
    <w:rsid w:val="59B41875"/>
    <w:rsid w:val="5A053928"/>
    <w:rsid w:val="5A660630"/>
    <w:rsid w:val="5EA81D3F"/>
    <w:rsid w:val="60B64216"/>
    <w:rsid w:val="60BC5B58"/>
    <w:rsid w:val="60D9639A"/>
    <w:rsid w:val="61706FBC"/>
    <w:rsid w:val="635B261A"/>
    <w:rsid w:val="65640D13"/>
    <w:rsid w:val="65E32635"/>
    <w:rsid w:val="6643553D"/>
    <w:rsid w:val="670A6F51"/>
    <w:rsid w:val="6A6575CE"/>
    <w:rsid w:val="6B2521FD"/>
    <w:rsid w:val="6BFC005B"/>
    <w:rsid w:val="6DFF3C08"/>
    <w:rsid w:val="6F1D07E7"/>
    <w:rsid w:val="703021B7"/>
    <w:rsid w:val="728F406F"/>
    <w:rsid w:val="72D60383"/>
    <w:rsid w:val="7300726F"/>
    <w:rsid w:val="730F6C56"/>
    <w:rsid w:val="73434632"/>
    <w:rsid w:val="73FB3720"/>
    <w:rsid w:val="7463666F"/>
    <w:rsid w:val="767D9F53"/>
    <w:rsid w:val="799B33D8"/>
    <w:rsid w:val="7BF69A6F"/>
    <w:rsid w:val="7D802B6E"/>
    <w:rsid w:val="7E7F9797"/>
    <w:rsid w:val="7EF969B3"/>
    <w:rsid w:val="7FA9ECC1"/>
    <w:rsid w:val="7FF2A027"/>
    <w:rsid w:val="7FF312FC"/>
    <w:rsid w:val="7FF97783"/>
    <w:rsid w:val="7FFCFA6E"/>
    <w:rsid w:val="A59E26A7"/>
    <w:rsid w:val="AF7FA18B"/>
    <w:rsid w:val="B6CB9F8C"/>
    <w:rsid w:val="CBDC2613"/>
    <w:rsid w:val="D5998AD9"/>
    <w:rsid w:val="D7E00C3A"/>
    <w:rsid w:val="D7FB69C0"/>
    <w:rsid w:val="EC31FA3C"/>
    <w:rsid w:val="EF8E103E"/>
    <w:rsid w:val="F47F339D"/>
    <w:rsid w:val="F5BBBD86"/>
    <w:rsid w:val="F6AD8256"/>
    <w:rsid w:val="FDD755F1"/>
    <w:rsid w:val="FDF75414"/>
    <w:rsid w:val="FDFD197A"/>
    <w:rsid w:val="FFF39A30"/>
    <w:rsid w:val="FFFBE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after="120"/>
      <w:contextualSpacing/>
      <w:outlineLvl w:val="0"/>
    </w:pPr>
    <w:rPr>
      <w:rFonts w:asciiTheme="majorHAnsi" w:hAnsiTheme="majorHAnsi"/>
      <w:color w:val="2E75B6" w:themeColor="accent1" w:themeShade="BF"/>
      <w:sz w:val="36"/>
      <w:szCs w:val="44"/>
    </w:rPr>
  </w:style>
  <w:style w:type="paragraph" w:styleId="3">
    <w:name w:val="heading 2"/>
    <w:basedOn w:val="1"/>
    <w:next w:val="1"/>
    <w:link w:val="4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9"/>
    <w:pPr>
      <w:outlineLvl w:val="2"/>
    </w:pPr>
    <w:rPr>
      <w:b/>
      <w:color w:val="404040" w:themeColor="text1" w:themeTint="BF"/>
      <w14:textFill>
        <w14:solidFill>
          <w14:schemeClr w14:val="tx1">
            <w14:lumMod w14:val="75000"/>
            <w14:lumOff w14:val="25000"/>
          </w14:schemeClr>
        </w14:solidFill>
      </w14:textFill>
    </w:rPr>
  </w:style>
  <w:style w:type="character" w:default="1" w:styleId="32">
    <w:name w:val="Default Paragraph Font"/>
    <w:semiHidden/>
    <w:unhideWhenUsed/>
    <w:uiPriority w:val="1"/>
  </w:style>
  <w:style w:type="table" w:default="1" w:styleId="30">
    <w:name w:val="Normal Table"/>
    <w:semiHidden/>
    <w:unhideWhenUsed/>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sz w:val="20"/>
      <w:szCs w:val="20"/>
    </w:rPr>
  </w:style>
  <w:style w:type="paragraph" w:styleId="6">
    <w:name w:val="index 8"/>
    <w:basedOn w:val="1"/>
    <w:next w:val="1"/>
    <w:qFormat/>
    <w:uiPriority w:val="0"/>
    <w:pPr>
      <w:ind w:left="1680" w:hanging="210"/>
    </w:pPr>
  </w:style>
  <w:style w:type="paragraph" w:styleId="7">
    <w:name w:val="index 5"/>
    <w:basedOn w:val="1"/>
    <w:next w:val="1"/>
    <w:qFormat/>
    <w:uiPriority w:val="0"/>
    <w:pPr>
      <w:ind w:left="1050" w:hanging="210"/>
    </w:pPr>
  </w:style>
  <w:style w:type="paragraph" w:styleId="8">
    <w:name w:val="index 6"/>
    <w:basedOn w:val="1"/>
    <w:next w:val="1"/>
    <w:qFormat/>
    <w:uiPriority w:val="0"/>
    <w:pPr>
      <w:ind w:left="1260" w:hanging="210"/>
    </w:pPr>
  </w:style>
  <w:style w:type="paragraph" w:styleId="9">
    <w:name w:val="index 4"/>
    <w:basedOn w:val="1"/>
    <w:next w:val="1"/>
    <w:qFormat/>
    <w:uiPriority w:val="0"/>
    <w:pPr>
      <w:ind w:left="840" w:hanging="210"/>
    </w:pPr>
  </w:style>
  <w:style w:type="paragraph" w:styleId="10">
    <w:name w:val="toc 5"/>
    <w:basedOn w:val="1"/>
    <w:next w:val="1"/>
    <w:qFormat/>
    <w:uiPriority w:val="0"/>
    <w:pPr>
      <w:ind w:left="840"/>
      <w:jc w:val="left"/>
    </w:pPr>
    <w:rPr>
      <w:sz w:val="20"/>
      <w:szCs w:val="20"/>
    </w:rPr>
  </w:style>
  <w:style w:type="paragraph" w:styleId="11">
    <w:name w:val="toc 3"/>
    <w:basedOn w:val="1"/>
    <w:next w:val="1"/>
    <w:unhideWhenUsed/>
    <w:qFormat/>
    <w:uiPriority w:val="39"/>
    <w:pPr>
      <w:ind w:left="420"/>
      <w:jc w:val="left"/>
    </w:pPr>
    <w:rPr>
      <w:sz w:val="20"/>
      <w:szCs w:val="20"/>
    </w:rPr>
  </w:style>
  <w:style w:type="paragraph" w:styleId="12">
    <w:name w:val="toc 8"/>
    <w:basedOn w:val="1"/>
    <w:next w:val="1"/>
    <w:qFormat/>
    <w:uiPriority w:val="0"/>
    <w:pPr>
      <w:ind w:left="1470"/>
      <w:jc w:val="left"/>
    </w:pPr>
    <w:rPr>
      <w:sz w:val="20"/>
      <w:szCs w:val="20"/>
    </w:rPr>
  </w:style>
  <w:style w:type="paragraph" w:styleId="13">
    <w:name w:val="index 3"/>
    <w:basedOn w:val="1"/>
    <w:next w:val="1"/>
    <w:qFormat/>
    <w:uiPriority w:val="0"/>
    <w:pPr>
      <w:ind w:left="630" w:hanging="210"/>
    </w:pPr>
  </w:style>
  <w:style w:type="paragraph" w:styleId="14">
    <w:name w:val="Balloon Text"/>
    <w:basedOn w:val="1"/>
    <w:link w:val="43"/>
    <w:qFormat/>
    <w:uiPriority w:val="0"/>
    <w:rPr>
      <w:sz w:val="18"/>
      <w:szCs w:val="18"/>
    </w:rPr>
  </w:style>
  <w:style w:type="paragraph" w:styleId="15">
    <w:name w:val="footer"/>
    <w:basedOn w:val="1"/>
    <w:link w:val="41"/>
    <w:qFormat/>
    <w:uiPriority w:val="0"/>
    <w:pPr>
      <w:tabs>
        <w:tab w:val="center" w:pos="4153"/>
        <w:tab w:val="right" w:pos="8306"/>
      </w:tabs>
      <w:snapToGrid w:val="0"/>
      <w:jc w:val="left"/>
    </w:pPr>
    <w:rPr>
      <w:sz w:val="18"/>
      <w:szCs w:val="18"/>
    </w:rPr>
  </w:style>
  <w:style w:type="paragraph" w:styleId="16">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spacing w:before="120"/>
      <w:jc w:val="left"/>
    </w:pPr>
    <w:rPr>
      <w:b/>
      <w:bCs/>
      <w:i/>
      <w:iCs/>
      <w:sz w:val="24"/>
    </w:rPr>
  </w:style>
  <w:style w:type="paragraph" w:styleId="18">
    <w:name w:val="toc 4"/>
    <w:basedOn w:val="1"/>
    <w:next w:val="1"/>
    <w:qFormat/>
    <w:uiPriority w:val="0"/>
    <w:pPr>
      <w:ind w:left="630"/>
      <w:jc w:val="left"/>
    </w:pPr>
    <w:rPr>
      <w:sz w:val="20"/>
      <w:szCs w:val="20"/>
    </w:rPr>
  </w:style>
  <w:style w:type="paragraph" w:styleId="19">
    <w:name w:val="index heading"/>
    <w:basedOn w:val="1"/>
    <w:next w:val="20"/>
    <w:qFormat/>
    <w:uiPriority w:val="0"/>
  </w:style>
  <w:style w:type="paragraph" w:styleId="20">
    <w:name w:val="index 1"/>
    <w:basedOn w:val="1"/>
    <w:next w:val="1"/>
    <w:qFormat/>
    <w:uiPriority w:val="0"/>
    <w:pPr>
      <w:ind w:left="210" w:hanging="210"/>
    </w:pPr>
  </w:style>
  <w:style w:type="paragraph" w:styleId="21">
    <w:name w:val="toc 6"/>
    <w:basedOn w:val="1"/>
    <w:next w:val="1"/>
    <w:qFormat/>
    <w:uiPriority w:val="0"/>
    <w:pPr>
      <w:ind w:left="1050"/>
      <w:jc w:val="left"/>
    </w:pPr>
    <w:rPr>
      <w:sz w:val="20"/>
      <w:szCs w:val="20"/>
    </w:rPr>
  </w:style>
  <w:style w:type="paragraph" w:styleId="22">
    <w:name w:val="index 7"/>
    <w:basedOn w:val="1"/>
    <w:next w:val="1"/>
    <w:qFormat/>
    <w:uiPriority w:val="0"/>
    <w:pPr>
      <w:ind w:left="1470" w:hanging="210"/>
    </w:pPr>
  </w:style>
  <w:style w:type="paragraph" w:styleId="23">
    <w:name w:val="index 9"/>
    <w:basedOn w:val="1"/>
    <w:next w:val="1"/>
    <w:qFormat/>
    <w:uiPriority w:val="0"/>
    <w:pPr>
      <w:ind w:left="1890" w:hanging="210"/>
    </w:pPr>
  </w:style>
  <w:style w:type="paragraph" w:styleId="24">
    <w:name w:val="table of figures"/>
    <w:basedOn w:val="1"/>
    <w:next w:val="1"/>
    <w:qFormat/>
    <w:uiPriority w:val="0"/>
    <w:pPr>
      <w:ind w:left="420" w:hanging="420"/>
    </w:pPr>
  </w:style>
  <w:style w:type="paragraph" w:styleId="25">
    <w:name w:val="toc 2"/>
    <w:basedOn w:val="1"/>
    <w:next w:val="1"/>
    <w:unhideWhenUsed/>
    <w:qFormat/>
    <w:uiPriority w:val="39"/>
    <w:pPr>
      <w:spacing w:before="120"/>
      <w:ind w:left="210"/>
      <w:jc w:val="left"/>
    </w:pPr>
    <w:rPr>
      <w:b/>
      <w:bCs/>
      <w:sz w:val="22"/>
      <w:szCs w:val="22"/>
    </w:rPr>
  </w:style>
  <w:style w:type="paragraph" w:styleId="26">
    <w:name w:val="toc 9"/>
    <w:basedOn w:val="1"/>
    <w:next w:val="1"/>
    <w:qFormat/>
    <w:uiPriority w:val="0"/>
    <w:pPr>
      <w:ind w:left="1680"/>
      <w:jc w:val="left"/>
    </w:pPr>
    <w:rPr>
      <w:sz w:val="20"/>
      <w:szCs w:val="20"/>
    </w:rPr>
  </w:style>
  <w:style w:type="paragraph" w:styleId="27">
    <w:name w:val="Normal (Web)"/>
    <w:basedOn w:val="1"/>
    <w:qFormat/>
    <w:uiPriority w:val="0"/>
    <w:pPr>
      <w:spacing w:beforeAutospacing="1" w:afterAutospacing="1"/>
      <w:jc w:val="left"/>
    </w:pPr>
    <w:rPr>
      <w:rFonts w:cs="Times New Roman"/>
      <w:kern w:val="0"/>
      <w:sz w:val="24"/>
    </w:rPr>
  </w:style>
  <w:style w:type="paragraph" w:styleId="28">
    <w:name w:val="index 2"/>
    <w:basedOn w:val="1"/>
    <w:next w:val="1"/>
    <w:qFormat/>
    <w:uiPriority w:val="0"/>
    <w:pPr>
      <w:ind w:left="420" w:hanging="210"/>
    </w:pPr>
  </w:style>
  <w:style w:type="paragraph" w:styleId="29">
    <w:name w:val="Title"/>
    <w:basedOn w:val="1"/>
    <w:next w:val="1"/>
    <w:link w:val="39"/>
    <w:qFormat/>
    <w:uiPriority w:val="0"/>
    <w:pPr>
      <w:spacing w:before="240" w:after="60"/>
      <w:jc w:val="center"/>
      <w:outlineLvl w:val="0"/>
    </w:pPr>
    <w:rPr>
      <w:rFonts w:asciiTheme="majorHAnsi" w:hAnsiTheme="majorHAnsi" w:eastAsiaTheme="majorEastAsia" w:cstheme="majorBidi"/>
      <w:b/>
      <w:bCs/>
      <w:sz w:val="32"/>
      <w:szCs w:val="3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rPr>
  </w:style>
  <w:style w:type="character" w:styleId="34">
    <w:name w:val="page number"/>
    <w:basedOn w:val="32"/>
    <w:qFormat/>
    <w:uiPriority w:val="0"/>
  </w:style>
  <w:style w:type="character" w:styleId="35">
    <w:name w:val="Hyperlink"/>
    <w:basedOn w:val="32"/>
    <w:qFormat/>
    <w:uiPriority w:val="99"/>
    <w:rPr>
      <w:color w:val="0000FF"/>
      <w:u w:val="single"/>
    </w:rPr>
  </w:style>
  <w:style w:type="character" w:customStyle="1" w:styleId="36">
    <w:name w:val="apple-converted-space"/>
    <w:basedOn w:val="32"/>
    <w:qFormat/>
    <w:uiPriority w:val="0"/>
  </w:style>
  <w:style w:type="paragraph" w:customStyle="1" w:styleId="37">
    <w:name w:val="TOC 标题1"/>
    <w:basedOn w:val="2"/>
    <w:next w:val="1"/>
    <w:unhideWhenUsed/>
    <w:qFormat/>
    <w:uiPriority w:val="39"/>
    <w:pPr>
      <w:keepNext/>
      <w:keepLines/>
      <w:widowControl/>
      <w:spacing w:before="480" w:after="0" w:line="276" w:lineRule="auto"/>
      <w:contextualSpacing w:val="0"/>
      <w:jc w:val="left"/>
      <w:outlineLvl w:val="9"/>
    </w:pPr>
    <w:rPr>
      <w:rFonts w:eastAsiaTheme="majorEastAsia" w:cstheme="majorBidi"/>
      <w:b/>
      <w:bCs/>
      <w:kern w:val="0"/>
      <w:sz w:val="28"/>
      <w:szCs w:val="28"/>
    </w:rPr>
  </w:style>
  <w:style w:type="paragraph" w:styleId="38">
    <w:name w:val="List Paragraph"/>
    <w:basedOn w:val="1"/>
    <w:qFormat/>
    <w:uiPriority w:val="99"/>
    <w:pPr>
      <w:ind w:firstLine="420" w:firstLineChars="200"/>
    </w:pPr>
  </w:style>
  <w:style w:type="character" w:customStyle="1" w:styleId="39">
    <w:name w:val="标题 字符"/>
    <w:basedOn w:val="32"/>
    <w:link w:val="29"/>
    <w:qFormat/>
    <w:uiPriority w:val="0"/>
    <w:rPr>
      <w:rFonts w:asciiTheme="majorHAnsi" w:hAnsiTheme="majorHAnsi" w:eastAsiaTheme="majorEastAsia" w:cstheme="majorBidi"/>
      <w:b/>
      <w:bCs/>
      <w:kern w:val="2"/>
      <w:sz w:val="32"/>
      <w:szCs w:val="32"/>
    </w:rPr>
  </w:style>
  <w:style w:type="character" w:customStyle="1" w:styleId="40">
    <w:name w:val="标题 2 字符"/>
    <w:basedOn w:val="32"/>
    <w:link w:val="3"/>
    <w:qFormat/>
    <w:uiPriority w:val="0"/>
    <w:rPr>
      <w:rFonts w:asciiTheme="majorHAnsi" w:hAnsiTheme="majorHAnsi" w:eastAsiaTheme="majorEastAsia" w:cstheme="majorBidi"/>
      <w:b/>
      <w:bCs/>
      <w:kern w:val="2"/>
      <w:sz w:val="32"/>
      <w:szCs w:val="32"/>
    </w:rPr>
  </w:style>
  <w:style w:type="character" w:customStyle="1" w:styleId="41">
    <w:name w:val="页脚 字符"/>
    <w:basedOn w:val="32"/>
    <w:link w:val="15"/>
    <w:qFormat/>
    <w:uiPriority w:val="0"/>
    <w:rPr>
      <w:rFonts w:asciiTheme="minorHAnsi" w:hAnsiTheme="minorHAnsi" w:eastAsiaTheme="minorEastAsia" w:cstheme="minorBidi"/>
      <w:kern w:val="2"/>
      <w:sz w:val="18"/>
      <w:szCs w:val="18"/>
    </w:rPr>
  </w:style>
  <w:style w:type="character" w:customStyle="1" w:styleId="42">
    <w:name w:val="页眉 字符"/>
    <w:basedOn w:val="32"/>
    <w:link w:val="16"/>
    <w:qFormat/>
    <w:uiPriority w:val="0"/>
    <w:rPr>
      <w:rFonts w:asciiTheme="minorHAnsi" w:hAnsiTheme="minorHAnsi" w:eastAsiaTheme="minorEastAsia" w:cstheme="minorBidi"/>
      <w:kern w:val="2"/>
      <w:sz w:val="18"/>
      <w:szCs w:val="18"/>
    </w:rPr>
  </w:style>
  <w:style w:type="character" w:customStyle="1" w:styleId="43">
    <w:name w:val="批注框文本 字符"/>
    <w:basedOn w:val="32"/>
    <w:link w:val="14"/>
    <w:qFormat/>
    <w:uiPriority w:val="0"/>
    <w:rPr>
      <w:rFonts w:asciiTheme="minorHAnsi" w:hAnsiTheme="minorHAnsi" w:eastAsiaTheme="minorEastAsia" w:cstheme="minorBidi"/>
      <w:kern w:val="2"/>
      <w:sz w:val="18"/>
      <w:szCs w:val="18"/>
    </w:rPr>
  </w:style>
  <w:style w:type="paragraph" w:customStyle="1" w:styleId="44">
    <w:name w:val="TOC Heading"/>
    <w:basedOn w:val="2"/>
    <w:next w:val="1"/>
    <w:unhideWhenUsed/>
    <w:qFormat/>
    <w:uiPriority w:val="39"/>
    <w:pPr>
      <w:keepNext/>
      <w:keepLines/>
      <w:widowControl/>
      <w:spacing w:before="240" w:after="0" w:line="259" w:lineRule="auto"/>
      <w:contextualSpacing w:val="0"/>
      <w:jc w:val="left"/>
      <w:outlineLvl w:val="9"/>
    </w:pPr>
    <w:rPr>
      <w:rFonts w:eastAsiaTheme="majorEastAsia" w:cstheme="majorBidi"/>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29</Pages>
  <Words>3450</Words>
  <Characters>19671</Characters>
  <Lines>163</Lines>
  <Paragraphs>46</Paragraphs>
  <TotalTime>2</TotalTime>
  <ScaleCrop>false</ScaleCrop>
  <LinksUpToDate>false</LinksUpToDate>
  <CharactersWithSpaces>23075</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2023-09-12T04:59:00Z</dcterms:created>
  <dc:creator>不慌不忙</dc:creator>
  <cp:lastModifiedBy>An</cp:lastModifiedBy>
  <cp:lastPrinted>2021-03-08T02:21:00Z</cp:lastPrinted>
  <dcterms:modified xsi:type="dcterms:W3CDTF">2026-09-08T21:17:39Z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71DE12F68BBB48F19A05F528C76E3E56_13</vt:lpwstr>
  </property>
  <property fmtid="{D5CDD505-2E9C-101B-9397-08002B2CF9AE}" pid="4" name="KSOTemplateDocerSaveRecord">
    <vt:lpwstr>eyJoZGlkIjoiZWRiNmUyMmM1NjZlMWJkNjcwYmQ0NzczYTliMGQzMmUiLCJ1c2VySWQiOiIxMjU0MzcwNjAyIn0=</vt:lpwstr>
  </property>
</Properties>
</file>